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B69" w:rsidRPr="005F0507" w:rsidRDefault="003F38B1" w:rsidP="005263F4">
      <w:pPr>
        <w:pStyle w:val="WW-Absatz-Standardschriftart1"/>
        <w:rPr>
          <w:rFonts w:ascii="Cambria" w:hAnsi="Cambria"/>
          <w:sz w:val="72"/>
          <w:szCs w:val="72"/>
        </w:rPr>
      </w:pPr>
      <w:r w:rsidRPr="005F0507">
        <w:rPr>
          <w:noProof/>
        </w:rPr>
        <w:pict>
          <v:rect id="_x0000_s1027" style="position:absolute;margin-left:-14pt;margin-top:.75pt;width:623.65pt;height:59.7pt;z-index:251657216;mso-width-percent:1050;mso-position-horizontal-relative:page;mso-position-vertical-relative:page;mso-width-percent:1050;mso-height-relative:top-margin-area" o:allowincell="f" fillcolor="#4bacc6" strokecolor="#31849b">
            <w10:wrap anchorx="page" anchory="margin"/>
          </v:rect>
        </w:pict>
      </w:r>
      <w:r w:rsidR="00B66B69" w:rsidRPr="005F0507">
        <w:rPr>
          <w:rFonts w:ascii="Cambria" w:hAnsi="Cambria"/>
          <w:sz w:val="72"/>
          <w:szCs w:val="72"/>
        </w:rPr>
        <w:t xml:space="preserve"> </w:t>
      </w:r>
    </w:p>
    <w:p w:rsidR="005263F4" w:rsidRDefault="00181905" w:rsidP="005263F4">
      <w:pPr>
        <w:pStyle w:val="WW-Absatz-Standardschriftart1"/>
      </w:pPr>
      <w:r w:rsidRPr="005F0507">
        <w:rPr>
          <w:noProof/>
        </w:rPr>
        <w:pict>
          <v:rect id="_x0000_s1029" style="position:absolute;margin-left:23.25pt;margin-top:-20.35pt;width:7.15pt;height:882.3pt;z-index:251659264;mso-height-percent:1050;mso-position-horizontal-relative:page;mso-position-vertical-relative:page;mso-height-percent:1050" o:allowincell="f" strokecolor="#31849b">
            <w10:wrap anchorx="margin" anchory="page"/>
          </v:rect>
        </w:pict>
      </w:r>
      <w:r w:rsidRPr="005F0507">
        <w:rPr>
          <w:noProof/>
        </w:rPr>
        <w:pict>
          <v:rect id="_x0000_s1028" style="position:absolute;margin-left:560.65pt;margin-top:-20.35pt;width:7.15pt;height:882.3pt;z-index:251658240;mso-height-percent:1050;mso-position-horizontal-relative:page;mso-position-vertical-relative:page;mso-height-percent:1050" o:allowincell="f" strokecolor="#31849b">
            <w10:wrap anchorx="page" anchory="page"/>
          </v:rect>
        </w:pict>
      </w:r>
    </w:p>
    <w:p w:rsidR="00F97D87" w:rsidRDefault="00F97D87">
      <w:pPr>
        <w:rPr>
          <w:lang w:val="bs-Latn-BA"/>
        </w:rPr>
      </w:pPr>
    </w:p>
    <w:p w:rsidR="002871E1" w:rsidRDefault="005710AF" w:rsidP="003D622E">
      <w:pPr>
        <w:tabs>
          <w:tab w:val="left" w:pos="1800"/>
        </w:tabs>
        <w:spacing w:before="100" w:beforeAutospacing="1" w:after="120"/>
        <w:ind w:left="-57" w:right="-180"/>
        <w:jc w:val="center"/>
        <w:rPr>
          <w:rFonts w:ascii="Arial" w:hAnsi="Arial" w:cs="Arial"/>
          <w:b/>
          <w:lang w:val="hr-BA"/>
        </w:rPr>
      </w:pPr>
      <w:r>
        <w:rPr>
          <w:rFonts w:ascii="Arial" w:hAnsi="Arial" w:cs="Arial"/>
          <w:b/>
          <w:lang w:val="hr-BA"/>
        </w:rPr>
        <w:t xml:space="preserve">  </w:t>
      </w:r>
      <w:r w:rsidR="00701646">
        <w:rPr>
          <w:rFonts w:ascii="Arial" w:hAnsi="Arial" w:cs="Arial"/>
          <w:b/>
          <w:lang w:val="hr-BA"/>
        </w:rPr>
        <w:t xml:space="preserve"> </w:t>
      </w:r>
      <w:r w:rsidR="00C42205">
        <w:rPr>
          <w:rFonts w:ascii="Arial" w:hAnsi="Arial" w:cs="Arial"/>
          <w:b/>
          <w:lang w:val="hr-BA"/>
        </w:rPr>
        <w:t xml:space="preserve"> </w:t>
      </w:r>
      <w:r w:rsidR="00400744">
        <w:rPr>
          <w:noProof/>
          <w:lang w:val="hr-HR" w:eastAsia="hr-HR"/>
        </w:rPr>
        <w:drawing>
          <wp:inline distT="0" distB="0" distL="0" distR="0">
            <wp:extent cx="933450" cy="81280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srcRect/>
                    <a:stretch>
                      <a:fillRect/>
                    </a:stretch>
                  </pic:blipFill>
                  <pic:spPr bwMode="auto">
                    <a:xfrm>
                      <a:off x="0" y="0"/>
                      <a:ext cx="933450" cy="812800"/>
                    </a:xfrm>
                    <a:prstGeom prst="rect">
                      <a:avLst/>
                    </a:prstGeom>
                    <a:noFill/>
                    <a:ln w="9525">
                      <a:noFill/>
                      <a:miter lim="800000"/>
                      <a:headEnd/>
                      <a:tailEnd/>
                    </a:ln>
                  </pic:spPr>
                </pic:pic>
              </a:graphicData>
            </a:graphic>
          </wp:inline>
        </w:drawing>
      </w:r>
      <w:r w:rsidR="002871E1">
        <w:rPr>
          <w:rFonts w:ascii="Arial" w:hAnsi="Arial" w:cs="Arial"/>
          <w:b/>
          <w:lang w:val="hr-BA"/>
        </w:rPr>
        <w:t xml:space="preserve"> </w:t>
      </w:r>
      <w:r w:rsidR="00782908">
        <w:rPr>
          <w:rFonts w:ascii="Arial" w:hAnsi="Arial" w:cs="Arial"/>
          <w:b/>
          <w:lang w:val="hr-BA"/>
        </w:rPr>
        <w:t xml:space="preserve"> </w:t>
      </w:r>
    </w:p>
    <w:p w:rsidR="002871E1" w:rsidRPr="002871E1" w:rsidRDefault="002871E1" w:rsidP="002871E1">
      <w:pPr>
        <w:jc w:val="center"/>
        <w:rPr>
          <w:b/>
          <w:sz w:val="28"/>
          <w:szCs w:val="28"/>
          <w:lang w:val="hr-BA"/>
        </w:rPr>
      </w:pPr>
      <w:r w:rsidRPr="002871E1">
        <w:rPr>
          <w:b/>
          <w:sz w:val="28"/>
          <w:szCs w:val="28"/>
          <w:lang w:val="hr-BA"/>
        </w:rPr>
        <w:t>Bosna i Hercegovina</w:t>
      </w:r>
    </w:p>
    <w:p w:rsidR="002871E1" w:rsidRPr="002871E1" w:rsidRDefault="002871E1" w:rsidP="002871E1">
      <w:pPr>
        <w:jc w:val="center"/>
        <w:rPr>
          <w:b/>
          <w:sz w:val="28"/>
          <w:szCs w:val="28"/>
          <w:lang w:val="hr-BA"/>
        </w:rPr>
      </w:pPr>
      <w:r w:rsidRPr="002871E1">
        <w:rPr>
          <w:b/>
          <w:sz w:val="28"/>
          <w:szCs w:val="28"/>
          <w:lang w:val="hr-BA"/>
        </w:rPr>
        <w:t>Vlada Unsko – sanskog kantona</w:t>
      </w:r>
    </w:p>
    <w:p w:rsidR="001022E9" w:rsidRPr="00747978" w:rsidRDefault="002871E1" w:rsidP="002871E1">
      <w:pPr>
        <w:jc w:val="center"/>
        <w:rPr>
          <w:b/>
          <w:sz w:val="28"/>
          <w:szCs w:val="28"/>
          <w:lang w:val="hr-BA"/>
        </w:rPr>
      </w:pPr>
      <w:r w:rsidRPr="002871E1">
        <w:rPr>
          <w:b/>
          <w:sz w:val="28"/>
          <w:szCs w:val="28"/>
          <w:lang w:val="hr-BA"/>
        </w:rPr>
        <w:t>Ministarstvo finansija</w:t>
      </w:r>
    </w:p>
    <w:p w:rsidR="001022E9" w:rsidRPr="00747978" w:rsidRDefault="001022E9" w:rsidP="001022E9">
      <w:pPr>
        <w:rPr>
          <w:sz w:val="28"/>
          <w:szCs w:val="28"/>
          <w:lang w:val="hr-BA"/>
        </w:rPr>
      </w:pPr>
    </w:p>
    <w:p w:rsidR="001022E9" w:rsidRPr="00747978" w:rsidRDefault="001022E9" w:rsidP="001022E9">
      <w:pPr>
        <w:rPr>
          <w:sz w:val="28"/>
          <w:szCs w:val="28"/>
          <w:lang w:val="hr-BA"/>
        </w:rPr>
      </w:pPr>
    </w:p>
    <w:p w:rsidR="001022E9" w:rsidRPr="00747978" w:rsidRDefault="001022E9" w:rsidP="001022E9">
      <w:pPr>
        <w:rPr>
          <w:sz w:val="28"/>
          <w:szCs w:val="28"/>
          <w:lang w:val="hr-BA"/>
        </w:rPr>
      </w:pPr>
    </w:p>
    <w:p w:rsidR="001022E9" w:rsidRPr="00747978" w:rsidRDefault="001022E9" w:rsidP="001022E9">
      <w:pPr>
        <w:rPr>
          <w:sz w:val="28"/>
          <w:szCs w:val="28"/>
          <w:lang w:val="hr-BA"/>
        </w:rPr>
      </w:pPr>
    </w:p>
    <w:p w:rsidR="001022E9" w:rsidRPr="00747978" w:rsidRDefault="001022E9" w:rsidP="001022E9">
      <w:pPr>
        <w:rPr>
          <w:sz w:val="28"/>
          <w:szCs w:val="28"/>
          <w:lang w:val="hr-BA"/>
        </w:rPr>
      </w:pPr>
    </w:p>
    <w:p w:rsidR="001022E9" w:rsidRPr="00747978" w:rsidRDefault="001022E9" w:rsidP="001022E9">
      <w:pPr>
        <w:rPr>
          <w:sz w:val="28"/>
          <w:szCs w:val="28"/>
          <w:lang w:val="hr-BA"/>
        </w:rPr>
      </w:pPr>
    </w:p>
    <w:p w:rsidR="00846F4E" w:rsidRPr="00747978" w:rsidRDefault="00846F4E" w:rsidP="001022E9">
      <w:pPr>
        <w:rPr>
          <w:sz w:val="28"/>
          <w:szCs w:val="28"/>
          <w:lang w:val="hr-BA"/>
        </w:rPr>
      </w:pPr>
    </w:p>
    <w:p w:rsidR="00846F4E" w:rsidRPr="00747978" w:rsidRDefault="00846F4E" w:rsidP="001022E9">
      <w:pPr>
        <w:rPr>
          <w:sz w:val="28"/>
          <w:szCs w:val="28"/>
          <w:lang w:val="hr-BA"/>
        </w:rPr>
      </w:pPr>
    </w:p>
    <w:p w:rsidR="00846F4E" w:rsidRPr="00747978" w:rsidRDefault="00846F4E" w:rsidP="001022E9">
      <w:pPr>
        <w:rPr>
          <w:sz w:val="28"/>
          <w:szCs w:val="28"/>
          <w:lang w:val="hr-BA"/>
        </w:rPr>
      </w:pPr>
    </w:p>
    <w:p w:rsidR="00846F4E" w:rsidRPr="00747978" w:rsidRDefault="00846F4E" w:rsidP="001022E9">
      <w:pPr>
        <w:rPr>
          <w:sz w:val="28"/>
          <w:szCs w:val="28"/>
          <w:lang w:val="hr-BA"/>
        </w:rPr>
      </w:pPr>
    </w:p>
    <w:p w:rsidR="001022E9" w:rsidRPr="00747978" w:rsidRDefault="001022E9" w:rsidP="001022E9">
      <w:pPr>
        <w:rPr>
          <w:sz w:val="28"/>
          <w:szCs w:val="28"/>
          <w:lang w:val="hr-BA"/>
        </w:rPr>
      </w:pPr>
    </w:p>
    <w:p w:rsidR="001022E9" w:rsidRPr="00747978" w:rsidRDefault="001022E9" w:rsidP="00B02440">
      <w:pPr>
        <w:jc w:val="center"/>
        <w:rPr>
          <w:sz w:val="28"/>
          <w:szCs w:val="28"/>
          <w:lang w:val="hr-BA"/>
        </w:rPr>
      </w:pPr>
    </w:p>
    <w:p w:rsidR="001022E9" w:rsidRDefault="001022E9" w:rsidP="001022E9">
      <w:pPr>
        <w:jc w:val="center"/>
        <w:rPr>
          <w:rFonts w:ascii="Arial" w:hAnsi="Arial" w:cs="Arial"/>
          <w:b/>
          <w:sz w:val="36"/>
          <w:szCs w:val="36"/>
          <w:lang w:val="hr-BA"/>
        </w:rPr>
      </w:pPr>
      <w:r w:rsidRPr="00747978">
        <w:rPr>
          <w:sz w:val="28"/>
          <w:szCs w:val="28"/>
          <w:lang w:val="hr-BA"/>
        </w:rPr>
        <w:tab/>
      </w:r>
      <w:r w:rsidRPr="0078294E">
        <w:rPr>
          <w:rFonts w:ascii="Arial" w:hAnsi="Arial" w:cs="Arial"/>
          <w:b/>
          <w:sz w:val="36"/>
          <w:szCs w:val="36"/>
          <w:lang w:val="hr-BA"/>
        </w:rPr>
        <w:t>DOKUMENT OKVIRNOG BUDŽETA</w:t>
      </w:r>
    </w:p>
    <w:p w:rsidR="001022E9" w:rsidRDefault="00B02440" w:rsidP="001022E9">
      <w:pPr>
        <w:jc w:val="center"/>
        <w:rPr>
          <w:rFonts w:ascii="Arial" w:hAnsi="Arial" w:cs="Arial"/>
          <w:b/>
          <w:sz w:val="36"/>
          <w:szCs w:val="36"/>
          <w:lang w:val="hr-BA"/>
        </w:rPr>
      </w:pPr>
      <w:r>
        <w:rPr>
          <w:rFonts w:ascii="Arial" w:hAnsi="Arial" w:cs="Arial"/>
          <w:b/>
          <w:sz w:val="36"/>
          <w:szCs w:val="36"/>
          <w:lang w:val="hr-BA"/>
        </w:rPr>
        <w:t xml:space="preserve">         </w:t>
      </w:r>
      <w:r w:rsidR="007C5B22">
        <w:rPr>
          <w:rFonts w:ascii="Arial" w:hAnsi="Arial" w:cs="Arial"/>
          <w:b/>
          <w:sz w:val="36"/>
          <w:szCs w:val="36"/>
          <w:lang w:val="hr-BA"/>
        </w:rPr>
        <w:t>UNSKO – SANSKOG KANTONA 20</w:t>
      </w:r>
      <w:r w:rsidR="00227DAD">
        <w:rPr>
          <w:rFonts w:ascii="Arial" w:hAnsi="Arial" w:cs="Arial"/>
          <w:b/>
          <w:sz w:val="36"/>
          <w:szCs w:val="36"/>
          <w:lang w:val="hr-BA"/>
        </w:rPr>
        <w:t>2</w:t>
      </w:r>
      <w:r w:rsidR="00572FE0">
        <w:rPr>
          <w:rFonts w:ascii="Arial" w:hAnsi="Arial" w:cs="Arial"/>
          <w:b/>
          <w:sz w:val="36"/>
          <w:szCs w:val="36"/>
          <w:lang w:val="hr-BA"/>
        </w:rPr>
        <w:t>1</w:t>
      </w:r>
      <w:r w:rsidR="001022E9">
        <w:rPr>
          <w:rFonts w:ascii="Arial" w:hAnsi="Arial" w:cs="Arial"/>
          <w:b/>
          <w:sz w:val="36"/>
          <w:szCs w:val="36"/>
          <w:lang w:val="hr-BA"/>
        </w:rPr>
        <w:t>.- 20</w:t>
      </w:r>
      <w:r w:rsidR="00227DAD">
        <w:rPr>
          <w:rFonts w:ascii="Arial" w:hAnsi="Arial" w:cs="Arial"/>
          <w:b/>
          <w:sz w:val="36"/>
          <w:szCs w:val="36"/>
          <w:lang w:val="hr-BA"/>
        </w:rPr>
        <w:t>2</w:t>
      </w:r>
      <w:r w:rsidR="00572FE0">
        <w:rPr>
          <w:rFonts w:ascii="Arial" w:hAnsi="Arial" w:cs="Arial"/>
          <w:b/>
          <w:sz w:val="36"/>
          <w:szCs w:val="36"/>
          <w:lang w:val="hr-BA"/>
        </w:rPr>
        <w:t>3</w:t>
      </w:r>
      <w:r w:rsidR="001022E9" w:rsidRPr="0078294E">
        <w:rPr>
          <w:rFonts w:ascii="Arial" w:hAnsi="Arial" w:cs="Arial"/>
          <w:b/>
          <w:sz w:val="36"/>
          <w:szCs w:val="36"/>
          <w:lang w:val="hr-BA"/>
        </w:rPr>
        <w:t xml:space="preserve">. </w:t>
      </w:r>
    </w:p>
    <w:p w:rsidR="00846F4E" w:rsidRPr="00546211" w:rsidRDefault="00846F4E" w:rsidP="00846F4E">
      <w:pPr>
        <w:rPr>
          <w:sz w:val="28"/>
          <w:szCs w:val="28"/>
          <w:lang w:val="hr-BA"/>
        </w:rPr>
      </w:pPr>
    </w:p>
    <w:p w:rsidR="00846F4E" w:rsidRPr="00546211" w:rsidRDefault="00846F4E" w:rsidP="00846F4E">
      <w:pPr>
        <w:rPr>
          <w:sz w:val="28"/>
          <w:szCs w:val="28"/>
          <w:lang w:val="hr-BA"/>
        </w:rPr>
      </w:pPr>
    </w:p>
    <w:p w:rsidR="00846F4E" w:rsidRPr="00546211" w:rsidRDefault="00846F4E" w:rsidP="00846F4E">
      <w:pPr>
        <w:rPr>
          <w:sz w:val="28"/>
          <w:szCs w:val="28"/>
          <w:lang w:val="hr-BA"/>
        </w:rPr>
      </w:pPr>
    </w:p>
    <w:p w:rsidR="00846F4E" w:rsidRPr="00546211" w:rsidRDefault="00846F4E" w:rsidP="00846F4E">
      <w:pPr>
        <w:rPr>
          <w:sz w:val="28"/>
          <w:szCs w:val="28"/>
          <w:lang w:val="hr-BA"/>
        </w:rPr>
      </w:pPr>
    </w:p>
    <w:p w:rsidR="00846F4E" w:rsidRPr="00546211" w:rsidRDefault="00846F4E" w:rsidP="00846F4E">
      <w:pPr>
        <w:rPr>
          <w:sz w:val="28"/>
          <w:szCs w:val="28"/>
          <w:lang w:val="hr-BA"/>
        </w:rPr>
      </w:pPr>
    </w:p>
    <w:p w:rsidR="00846F4E" w:rsidRPr="00546211" w:rsidRDefault="00846F4E" w:rsidP="00846F4E">
      <w:pPr>
        <w:rPr>
          <w:sz w:val="28"/>
          <w:szCs w:val="28"/>
          <w:lang w:val="hr-BA"/>
        </w:rPr>
      </w:pPr>
    </w:p>
    <w:p w:rsidR="00846F4E" w:rsidRPr="00546211" w:rsidRDefault="00846F4E" w:rsidP="00846F4E">
      <w:pPr>
        <w:rPr>
          <w:sz w:val="28"/>
          <w:szCs w:val="28"/>
          <w:lang w:val="hr-BA"/>
        </w:rPr>
      </w:pPr>
    </w:p>
    <w:p w:rsidR="00513F10" w:rsidRPr="00546211" w:rsidRDefault="00513F10" w:rsidP="00846F4E">
      <w:pPr>
        <w:rPr>
          <w:sz w:val="28"/>
          <w:szCs w:val="28"/>
          <w:lang w:val="hr-BA"/>
        </w:rPr>
      </w:pPr>
    </w:p>
    <w:p w:rsidR="00513F10" w:rsidRPr="00546211" w:rsidRDefault="00513F10" w:rsidP="00846F4E">
      <w:pPr>
        <w:rPr>
          <w:sz w:val="28"/>
          <w:szCs w:val="28"/>
          <w:lang w:val="hr-BA"/>
        </w:rPr>
      </w:pPr>
    </w:p>
    <w:p w:rsidR="00846F4E" w:rsidRPr="00546211" w:rsidRDefault="00846F4E" w:rsidP="00846F4E">
      <w:pPr>
        <w:rPr>
          <w:sz w:val="28"/>
          <w:szCs w:val="28"/>
          <w:lang w:val="hr-BA"/>
        </w:rPr>
      </w:pPr>
    </w:p>
    <w:p w:rsidR="00846F4E" w:rsidRPr="00546211" w:rsidRDefault="00846F4E" w:rsidP="00846F4E">
      <w:pPr>
        <w:rPr>
          <w:sz w:val="28"/>
          <w:szCs w:val="28"/>
          <w:lang w:val="hr-BA"/>
        </w:rPr>
      </w:pPr>
    </w:p>
    <w:p w:rsidR="00846F4E" w:rsidRPr="00546211" w:rsidRDefault="00846F4E" w:rsidP="00846F4E">
      <w:pPr>
        <w:rPr>
          <w:sz w:val="28"/>
          <w:szCs w:val="28"/>
          <w:lang w:val="hr-BA"/>
        </w:rPr>
      </w:pPr>
    </w:p>
    <w:p w:rsidR="00846F4E" w:rsidRPr="00D45365" w:rsidRDefault="003F38B1" w:rsidP="00D45365">
      <w:pPr>
        <w:jc w:val="center"/>
        <w:rPr>
          <w:rFonts w:ascii="Arial" w:hAnsi="Arial" w:cs="Arial"/>
          <w:b/>
          <w:sz w:val="24"/>
          <w:szCs w:val="24"/>
          <w:lang w:val="hr-BA"/>
        </w:rPr>
        <w:sectPr w:rsidR="00846F4E" w:rsidRPr="00D45365" w:rsidSect="00F97D87">
          <w:footerReference w:type="default" r:id="rId9"/>
          <w:pgSz w:w="11909" w:h="16834" w:code="9"/>
          <w:pgMar w:top="1241" w:right="1250" w:bottom="1440" w:left="1080" w:header="284" w:footer="1021" w:gutter="0"/>
          <w:pgBorders w:offsetFrom="page">
            <w:top w:val="double" w:sz="4" w:space="24" w:color="auto"/>
          </w:pgBorders>
          <w:cols w:space="720"/>
          <w:titlePg/>
          <w:docGrid w:linePitch="299"/>
        </w:sectPr>
      </w:pPr>
      <w:r w:rsidRPr="005F0507">
        <w:rPr>
          <w:noProof/>
        </w:rPr>
        <w:pict>
          <v:rect id="_x0000_s1026" style="position:absolute;left:0;text-align:left;margin-left:0;margin-top:0;width:623.65pt;height:71.7pt;z-index:251656192;mso-width-percent:1050;mso-position-horizontal:center;mso-position-horizontal-relative:page;mso-position-vertical:bottom;mso-position-vertical-relative:page;mso-width-percent:1050;mso-height-relative:top-margin-area" o:allowincell="f" fillcolor="#4bacc6" strokecolor="#31849b">
            <w10:wrap anchorx="page" anchory="page"/>
          </v:rect>
        </w:pict>
      </w:r>
      <w:r w:rsidR="00846F4E">
        <w:rPr>
          <w:rFonts w:ascii="Arial" w:hAnsi="Arial" w:cs="Arial"/>
          <w:b/>
          <w:sz w:val="24"/>
          <w:szCs w:val="24"/>
          <w:lang w:val="hr-BA"/>
        </w:rPr>
        <w:t>BIHAĆ,</w:t>
      </w:r>
      <w:r w:rsidR="00D45365">
        <w:rPr>
          <w:rFonts w:ascii="Arial" w:hAnsi="Arial" w:cs="Arial"/>
          <w:b/>
          <w:sz w:val="24"/>
          <w:szCs w:val="24"/>
          <w:lang w:val="hr-BA"/>
        </w:rPr>
        <w:t xml:space="preserve">  </w:t>
      </w:r>
      <w:r w:rsidR="00762E2E">
        <w:rPr>
          <w:rFonts w:ascii="Arial" w:hAnsi="Arial" w:cs="Arial"/>
          <w:b/>
          <w:sz w:val="24"/>
          <w:szCs w:val="24"/>
          <w:lang w:val="hr-BA"/>
        </w:rPr>
        <w:t>j</w:t>
      </w:r>
      <w:r w:rsidR="00E84911">
        <w:rPr>
          <w:rFonts w:ascii="Arial" w:hAnsi="Arial" w:cs="Arial"/>
          <w:b/>
          <w:sz w:val="24"/>
          <w:szCs w:val="24"/>
          <w:lang w:val="hr-BA"/>
        </w:rPr>
        <w:t>uni</w:t>
      </w:r>
      <w:r w:rsidR="00762E2E">
        <w:rPr>
          <w:rFonts w:ascii="Arial" w:hAnsi="Arial" w:cs="Arial"/>
          <w:b/>
          <w:sz w:val="24"/>
          <w:szCs w:val="24"/>
          <w:lang w:val="hr-BA"/>
        </w:rPr>
        <w:t xml:space="preserve"> </w:t>
      </w:r>
      <w:r w:rsidR="00846F4E" w:rsidRPr="0078294E">
        <w:rPr>
          <w:rFonts w:ascii="Arial" w:hAnsi="Arial" w:cs="Arial"/>
          <w:b/>
          <w:lang w:val="hr-BA"/>
        </w:rPr>
        <w:t xml:space="preserve"> 20</w:t>
      </w:r>
      <w:r w:rsidR="00572FE0">
        <w:rPr>
          <w:rFonts w:ascii="Arial" w:hAnsi="Arial" w:cs="Arial"/>
          <w:b/>
          <w:lang w:val="hr-BA"/>
        </w:rPr>
        <w:t>20</w:t>
      </w:r>
      <w:r w:rsidR="00846F4E">
        <w:rPr>
          <w:rFonts w:ascii="Arial" w:hAnsi="Arial" w:cs="Arial"/>
          <w:b/>
          <w:lang w:val="hr-BA"/>
        </w:rPr>
        <w:t>.</w:t>
      </w:r>
    </w:p>
    <w:p w:rsidR="00066690" w:rsidRPr="00766C2A" w:rsidRDefault="00066690" w:rsidP="00066690">
      <w:pPr>
        <w:jc w:val="center"/>
        <w:rPr>
          <w:b/>
          <w:sz w:val="28"/>
          <w:szCs w:val="28"/>
        </w:rPr>
      </w:pPr>
      <w:r w:rsidRPr="00766C2A">
        <w:rPr>
          <w:b/>
          <w:sz w:val="28"/>
          <w:szCs w:val="28"/>
        </w:rPr>
        <w:lastRenderedPageBreak/>
        <w:t>Sadržaj</w:t>
      </w:r>
    </w:p>
    <w:p w:rsidR="00066690" w:rsidRPr="00766C2A" w:rsidRDefault="00066690" w:rsidP="00066690">
      <w:pPr>
        <w:jc w:val="both"/>
        <w:rPr>
          <w:b/>
          <w:sz w:val="24"/>
          <w:szCs w:val="24"/>
        </w:rPr>
      </w:pPr>
      <w:r w:rsidRPr="00766C2A">
        <w:rPr>
          <w:b/>
          <w:sz w:val="24"/>
          <w:szCs w:val="24"/>
        </w:rPr>
        <w:t>I  UVOD U DOKUMENT OKVIRNOG BUDŽETA....................................</w:t>
      </w:r>
      <w:r>
        <w:rPr>
          <w:b/>
          <w:sz w:val="24"/>
          <w:szCs w:val="24"/>
        </w:rPr>
        <w:t>.............................</w:t>
      </w:r>
      <w:r w:rsidR="004746DD">
        <w:rPr>
          <w:b/>
          <w:sz w:val="24"/>
          <w:szCs w:val="24"/>
        </w:rPr>
        <w:t>3</w:t>
      </w:r>
    </w:p>
    <w:p w:rsidR="00066690" w:rsidRPr="00766C2A" w:rsidRDefault="00066690" w:rsidP="00887C88">
      <w:pPr>
        <w:pStyle w:val="ListParagraph"/>
        <w:numPr>
          <w:ilvl w:val="0"/>
          <w:numId w:val="16"/>
        </w:numPr>
        <w:spacing w:after="160" w:line="259" w:lineRule="auto"/>
        <w:jc w:val="both"/>
        <w:rPr>
          <w:rFonts w:ascii="Times New Roman" w:hAnsi="Times New Roman"/>
          <w:b/>
          <w:sz w:val="24"/>
          <w:szCs w:val="24"/>
        </w:rPr>
      </w:pPr>
      <w:r w:rsidRPr="00766C2A">
        <w:rPr>
          <w:rFonts w:ascii="Times New Roman" w:hAnsi="Times New Roman"/>
          <w:b/>
          <w:sz w:val="24"/>
          <w:szCs w:val="24"/>
        </w:rPr>
        <w:t>Srednjoročne makroekonomske pretpostavke i prognoze...............</w:t>
      </w:r>
      <w:r>
        <w:rPr>
          <w:rFonts w:ascii="Times New Roman" w:hAnsi="Times New Roman"/>
          <w:b/>
          <w:sz w:val="24"/>
          <w:szCs w:val="24"/>
        </w:rPr>
        <w:t>..............................</w:t>
      </w:r>
      <w:r w:rsidR="004746DD">
        <w:rPr>
          <w:rFonts w:ascii="Times New Roman" w:hAnsi="Times New Roman"/>
          <w:b/>
          <w:sz w:val="24"/>
          <w:szCs w:val="24"/>
        </w:rPr>
        <w:t>5</w:t>
      </w:r>
    </w:p>
    <w:p w:rsidR="00066690" w:rsidRDefault="00066690" w:rsidP="00887C88">
      <w:pPr>
        <w:pStyle w:val="ListParagraph"/>
        <w:numPr>
          <w:ilvl w:val="1"/>
          <w:numId w:val="16"/>
        </w:numPr>
        <w:spacing w:after="160" w:line="259" w:lineRule="auto"/>
        <w:jc w:val="both"/>
        <w:rPr>
          <w:rFonts w:ascii="Times New Roman" w:hAnsi="Times New Roman"/>
          <w:sz w:val="24"/>
          <w:szCs w:val="24"/>
        </w:rPr>
      </w:pPr>
      <w:r>
        <w:rPr>
          <w:rFonts w:ascii="Times New Roman" w:hAnsi="Times New Roman"/>
          <w:sz w:val="24"/>
          <w:szCs w:val="24"/>
        </w:rPr>
        <w:t>Ekonomski rast</w:t>
      </w:r>
      <w:r w:rsidRPr="00766C2A">
        <w:rPr>
          <w:rFonts w:ascii="Times New Roman" w:hAnsi="Times New Roman"/>
          <w:b/>
          <w:sz w:val="24"/>
          <w:szCs w:val="24"/>
        </w:rPr>
        <w:t>.........................................................................................................</w:t>
      </w:r>
      <w:r w:rsidR="004746DD">
        <w:rPr>
          <w:rFonts w:ascii="Times New Roman" w:hAnsi="Times New Roman"/>
          <w:b/>
          <w:sz w:val="24"/>
          <w:szCs w:val="24"/>
        </w:rPr>
        <w:t>5</w:t>
      </w:r>
    </w:p>
    <w:p w:rsidR="00066690" w:rsidRDefault="00066690" w:rsidP="00887C88">
      <w:pPr>
        <w:pStyle w:val="ListParagraph"/>
        <w:numPr>
          <w:ilvl w:val="1"/>
          <w:numId w:val="16"/>
        </w:numPr>
        <w:spacing w:after="160" w:line="259" w:lineRule="auto"/>
        <w:jc w:val="both"/>
        <w:rPr>
          <w:rFonts w:ascii="Times New Roman" w:hAnsi="Times New Roman"/>
          <w:sz w:val="24"/>
          <w:szCs w:val="24"/>
        </w:rPr>
      </w:pPr>
      <w:r>
        <w:rPr>
          <w:rFonts w:ascii="Times New Roman" w:hAnsi="Times New Roman"/>
          <w:sz w:val="24"/>
          <w:szCs w:val="24"/>
        </w:rPr>
        <w:t>Industrijska proizvodnja</w:t>
      </w:r>
      <w:r w:rsidRPr="00766C2A">
        <w:rPr>
          <w:rFonts w:ascii="Times New Roman" w:hAnsi="Times New Roman"/>
          <w:b/>
          <w:sz w:val="24"/>
          <w:szCs w:val="24"/>
        </w:rPr>
        <w:t>................................................................</w:t>
      </w:r>
      <w:r>
        <w:rPr>
          <w:rFonts w:ascii="Times New Roman" w:hAnsi="Times New Roman"/>
          <w:b/>
          <w:sz w:val="24"/>
          <w:szCs w:val="24"/>
        </w:rPr>
        <w:t>...........................</w:t>
      </w:r>
      <w:r w:rsidR="0008230E">
        <w:rPr>
          <w:rFonts w:ascii="Times New Roman" w:hAnsi="Times New Roman"/>
          <w:b/>
          <w:sz w:val="24"/>
          <w:szCs w:val="24"/>
        </w:rPr>
        <w:t>9</w:t>
      </w:r>
    </w:p>
    <w:p w:rsidR="00066690" w:rsidRPr="009D6CB2" w:rsidRDefault="00066690" w:rsidP="00887C88">
      <w:pPr>
        <w:pStyle w:val="ListParagraph"/>
        <w:numPr>
          <w:ilvl w:val="1"/>
          <w:numId w:val="16"/>
        </w:numPr>
        <w:spacing w:after="160" w:line="259" w:lineRule="auto"/>
        <w:jc w:val="both"/>
        <w:rPr>
          <w:rFonts w:ascii="Times New Roman" w:hAnsi="Times New Roman"/>
          <w:b/>
          <w:sz w:val="24"/>
          <w:szCs w:val="24"/>
        </w:rPr>
      </w:pPr>
      <w:r>
        <w:rPr>
          <w:rFonts w:ascii="Times New Roman" w:hAnsi="Times New Roman"/>
          <w:sz w:val="24"/>
          <w:szCs w:val="24"/>
        </w:rPr>
        <w:t>Tržište rada</w:t>
      </w:r>
      <w:r w:rsidRPr="009D6CB2">
        <w:rPr>
          <w:rFonts w:ascii="Times New Roman" w:hAnsi="Times New Roman"/>
          <w:b/>
          <w:sz w:val="24"/>
          <w:szCs w:val="24"/>
        </w:rPr>
        <w:t>.............................................................................................................</w:t>
      </w:r>
      <w:r w:rsidR="00263BB8">
        <w:rPr>
          <w:rFonts w:ascii="Times New Roman" w:hAnsi="Times New Roman"/>
          <w:b/>
          <w:sz w:val="24"/>
          <w:szCs w:val="24"/>
        </w:rPr>
        <w:t>11</w:t>
      </w:r>
    </w:p>
    <w:p w:rsidR="00066690" w:rsidRDefault="00066690" w:rsidP="00887C88">
      <w:pPr>
        <w:pStyle w:val="ListParagraph"/>
        <w:numPr>
          <w:ilvl w:val="1"/>
          <w:numId w:val="16"/>
        </w:numPr>
        <w:spacing w:after="160" w:line="259" w:lineRule="auto"/>
        <w:jc w:val="both"/>
        <w:rPr>
          <w:rFonts w:ascii="Times New Roman" w:hAnsi="Times New Roman"/>
          <w:sz w:val="24"/>
          <w:szCs w:val="24"/>
        </w:rPr>
      </w:pPr>
      <w:r>
        <w:rPr>
          <w:rFonts w:ascii="Times New Roman" w:hAnsi="Times New Roman"/>
          <w:sz w:val="24"/>
          <w:szCs w:val="24"/>
        </w:rPr>
        <w:t>Cijene</w:t>
      </w:r>
      <w:r w:rsidRPr="009D6CB2">
        <w:rPr>
          <w:rFonts w:ascii="Times New Roman" w:hAnsi="Times New Roman"/>
          <w:b/>
          <w:sz w:val="24"/>
          <w:szCs w:val="24"/>
        </w:rPr>
        <w:t>.....................................................................................................................</w:t>
      </w:r>
      <w:r w:rsidR="004746DD">
        <w:rPr>
          <w:rFonts w:ascii="Times New Roman" w:hAnsi="Times New Roman"/>
          <w:b/>
          <w:sz w:val="24"/>
          <w:szCs w:val="24"/>
        </w:rPr>
        <w:t>1</w:t>
      </w:r>
      <w:r w:rsidR="00263BB8">
        <w:rPr>
          <w:rFonts w:ascii="Times New Roman" w:hAnsi="Times New Roman"/>
          <w:b/>
          <w:sz w:val="24"/>
          <w:szCs w:val="24"/>
        </w:rPr>
        <w:t>5</w:t>
      </w:r>
    </w:p>
    <w:p w:rsidR="00066690" w:rsidRPr="009D6CB2" w:rsidRDefault="00066690" w:rsidP="00887C88">
      <w:pPr>
        <w:pStyle w:val="ListParagraph"/>
        <w:numPr>
          <w:ilvl w:val="1"/>
          <w:numId w:val="16"/>
        </w:numPr>
        <w:spacing w:after="160" w:line="259" w:lineRule="auto"/>
        <w:jc w:val="both"/>
        <w:rPr>
          <w:rFonts w:ascii="Times New Roman" w:hAnsi="Times New Roman"/>
          <w:b/>
          <w:sz w:val="24"/>
          <w:szCs w:val="24"/>
        </w:rPr>
      </w:pPr>
      <w:r>
        <w:rPr>
          <w:rFonts w:ascii="Times New Roman" w:hAnsi="Times New Roman"/>
          <w:sz w:val="24"/>
          <w:szCs w:val="24"/>
        </w:rPr>
        <w:t>Vanjski sektor</w:t>
      </w:r>
      <w:r w:rsidRPr="009D6CB2">
        <w:rPr>
          <w:rFonts w:ascii="Times New Roman" w:hAnsi="Times New Roman"/>
          <w:b/>
          <w:sz w:val="24"/>
          <w:szCs w:val="24"/>
        </w:rPr>
        <w:t>........................................................................................................</w:t>
      </w:r>
      <w:r w:rsidR="004746DD">
        <w:rPr>
          <w:rFonts w:ascii="Times New Roman" w:hAnsi="Times New Roman"/>
          <w:b/>
          <w:sz w:val="24"/>
          <w:szCs w:val="24"/>
        </w:rPr>
        <w:t>1</w:t>
      </w:r>
      <w:r w:rsidR="00263BB8">
        <w:rPr>
          <w:rFonts w:ascii="Times New Roman" w:hAnsi="Times New Roman"/>
          <w:b/>
          <w:sz w:val="24"/>
          <w:szCs w:val="24"/>
        </w:rPr>
        <w:t>6</w:t>
      </w:r>
    </w:p>
    <w:p w:rsidR="00066690" w:rsidRPr="009D6CB2" w:rsidRDefault="00066690" w:rsidP="00887C88">
      <w:pPr>
        <w:pStyle w:val="ListParagraph"/>
        <w:numPr>
          <w:ilvl w:val="1"/>
          <w:numId w:val="16"/>
        </w:numPr>
        <w:spacing w:after="160" w:line="259" w:lineRule="auto"/>
        <w:jc w:val="both"/>
        <w:rPr>
          <w:rFonts w:ascii="Times New Roman" w:hAnsi="Times New Roman"/>
          <w:b/>
          <w:sz w:val="24"/>
          <w:szCs w:val="24"/>
        </w:rPr>
      </w:pPr>
      <w:r>
        <w:rPr>
          <w:rFonts w:ascii="Times New Roman" w:hAnsi="Times New Roman"/>
          <w:sz w:val="24"/>
          <w:szCs w:val="24"/>
        </w:rPr>
        <w:t>Strana direktna ulaganja</w:t>
      </w:r>
      <w:r w:rsidRPr="009D6CB2">
        <w:rPr>
          <w:rFonts w:ascii="Times New Roman" w:hAnsi="Times New Roman"/>
          <w:b/>
          <w:sz w:val="24"/>
          <w:szCs w:val="24"/>
        </w:rPr>
        <w:t>.............................................................</w:t>
      </w:r>
      <w:r>
        <w:rPr>
          <w:rFonts w:ascii="Times New Roman" w:hAnsi="Times New Roman"/>
          <w:b/>
          <w:sz w:val="24"/>
          <w:szCs w:val="24"/>
        </w:rPr>
        <w:t>...........................</w:t>
      </w:r>
      <w:r w:rsidR="004746DD">
        <w:rPr>
          <w:rFonts w:ascii="Times New Roman" w:hAnsi="Times New Roman"/>
          <w:b/>
          <w:sz w:val="24"/>
          <w:szCs w:val="24"/>
        </w:rPr>
        <w:t>1</w:t>
      </w:r>
      <w:r w:rsidR="00263BB8">
        <w:rPr>
          <w:rFonts w:ascii="Times New Roman" w:hAnsi="Times New Roman"/>
          <w:b/>
          <w:sz w:val="24"/>
          <w:szCs w:val="24"/>
        </w:rPr>
        <w:t>9</w:t>
      </w:r>
    </w:p>
    <w:p w:rsidR="00066690" w:rsidRDefault="00066690" w:rsidP="00887C88">
      <w:pPr>
        <w:pStyle w:val="ListParagraph"/>
        <w:numPr>
          <w:ilvl w:val="1"/>
          <w:numId w:val="16"/>
        </w:numPr>
        <w:spacing w:after="160" w:line="259" w:lineRule="auto"/>
        <w:jc w:val="both"/>
        <w:rPr>
          <w:rFonts w:ascii="Times New Roman" w:hAnsi="Times New Roman"/>
          <w:sz w:val="24"/>
          <w:szCs w:val="24"/>
        </w:rPr>
      </w:pPr>
      <w:r>
        <w:rPr>
          <w:rFonts w:ascii="Times New Roman" w:hAnsi="Times New Roman"/>
          <w:sz w:val="24"/>
          <w:szCs w:val="24"/>
        </w:rPr>
        <w:t>Unutrašnji i vanjski dug i strategija otplate duga Unsko-sanskog kantona</w:t>
      </w:r>
      <w:r>
        <w:rPr>
          <w:rFonts w:ascii="Times New Roman" w:hAnsi="Times New Roman"/>
          <w:b/>
          <w:sz w:val="24"/>
          <w:szCs w:val="24"/>
        </w:rPr>
        <w:t>..........</w:t>
      </w:r>
      <w:r w:rsidR="00263BB8">
        <w:rPr>
          <w:rFonts w:ascii="Times New Roman" w:hAnsi="Times New Roman"/>
          <w:b/>
          <w:sz w:val="24"/>
          <w:szCs w:val="24"/>
        </w:rPr>
        <w:t>.20</w:t>
      </w:r>
    </w:p>
    <w:p w:rsidR="00066690" w:rsidRPr="009D6CB2" w:rsidRDefault="00066690" w:rsidP="00887C88">
      <w:pPr>
        <w:pStyle w:val="ListParagraph"/>
        <w:numPr>
          <w:ilvl w:val="0"/>
          <w:numId w:val="16"/>
        </w:numPr>
        <w:spacing w:after="160" w:line="259" w:lineRule="auto"/>
        <w:jc w:val="both"/>
        <w:rPr>
          <w:rFonts w:ascii="Times New Roman" w:hAnsi="Times New Roman"/>
          <w:b/>
          <w:sz w:val="24"/>
          <w:szCs w:val="24"/>
        </w:rPr>
      </w:pPr>
      <w:r w:rsidRPr="009D6CB2">
        <w:rPr>
          <w:rFonts w:ascii="Times New Roman" w:hAnsi="Times New Roman"/>
          <w:b/>
          <w:sz w:val="24"/>
          <w:szCs w:val="24"/>
        </w:rPr>
        <w:t>Srednjoročna fiskalna strategija.....................................................</w:t>
      </w:r>
      <w:r>
        <w:rPr>
          <w:rFonts w:ascii="Times New Roman" w:hAnsi="Times New Roman"/>
          <w:b/>
          <w:sz w:val="24"/>
          <w:szCs w:val="24"/>
        </w:rPr>
        <w:t>...............................</w:t>
      </w:r>
      <w:r w:rsidR="00263BB8">
        <w:rPr>
          <w:rFonts w:ascii="Times New Roman" w:hAnsi="Times New Roman"/>
          <w:b/>
          <w:sz w:val="24"/>
          <w:szCs w:val="24"/>
        </w:rPr>
        <w:t>23</w:t>
      </w:r>
    </w:p>
    <w:p w:rsidR="00066690" w:rsidRPr="00263BB8" w:rsidRDefault="00066690" w:rsidP="00887C88">
      <w:pPr>
        <w:pStyle w:val="ListParagraph"/>
        <w:numPr>
          <w:ilvl w:val="1"/>
          <w:numId w:val="16"/>
        </w:numPr>
        <w:spacing w:after="160" w:line="259" w:lineRule="auto"/>
        <w:jc w:val="both"/>
        <w:rPr>
          <w:rFonts w:ascii="Times New Roman" w:hAnsi="Times New Roman"/>
          <w:bCs/>
          <w:sz w:val="24"/>
          <w:szCs w:val="24"/>
        </w:rPr>
      </w:pPr>
      <w:r>
        <w:rPr>
          <w:rFonts w:ascii="Times New Roman" w:hAnsi="Times New Roman"/>
          <w:sz w:val="24"/>
          <w:szCs w:val="24"/>
        </w:rPr>
        <w:t>Prihodi od indirektnih poreza u periodu 20</w:t>
      </w:r>
      <w:r w:rsidR="00B9276D">
        <w:rPr>
          <w:rFonts w:ascii="Times New Roman" w:hAnsi="Times New Roman"/>
          <w:sz w:val="24"/>
          <w:szCs w:val="24"/>
        </w:rPr>
        <w:t>20</w:t>
      </w:r>
      <w:r>
        <w:rPr>
          <w:rFonts w:ascii="Times New Roman" w:hAnsi="Times New Roman"/>
          <w:sz w:val="24"/>
          <w:szCs w:val="24"/>
        </w:rPr>
        <w:t>.-202</w:t>
      </w:r>
      <w:r w:rsidR="00B9276D">
        <w:rPr>
          <w:rFonts w:ascii="Times New Roman" w:hAnsi="Times New Roman"/>
          <w:sz w:val="24"/>
          <w:szCs w:val="24"/>
        </w:rPr>
        <w:t>3</w:t>
      </w:r>
      <w:r w:rsidRPr="00263BB8">
        <w:rPr>
          <w:rFonts w:ascii="Times New Roman" w:hAnsi="Times New Roman"/>
          <w:bCs/>
          <w:sz w:val="24"/>
          <w:szCs w:val="24"/>
        </w:rPr>
        <w:t>.............................................</w:t>
      </w:r>
      <w:r w:rsidR="00263BB8" w:rsidRPr="00263BB8">
        <w:rPr>
          <w:rFonts w:ascii="Times New Roman" w:hAnsi="Times New Roman"/>
          <w:bCs/>
          <w:sz w:val="24"/>
          <w:szCs w:val="24"/>
        </w:rPr>
        <w:t>23</w:t>
      </w:r>
    </w:p>
    <w:p w:rsidR="00066690" w:rsidRPr="00263BB8" w:rsidRDefault="00066690" w:rsidP="00887C88">
      <w:pPr>
        <w:pStyle w:val="ListParagraph"/>
        <w:numPr>
          <w:ilvl w:val="1"/>
          <w:numId w:val="16"/>
        </w:numPr>
        <w:spacing w:after="160" w:line="259" w:lineRule="auto"/>
        <w:jc w:val="both"/>
        <w:rPr>
          <w:rFonts w:ascii="Times New Roman" w:hAnsi="Times New Roman"/>
          <w:bCs/>
          <w:sz w:val="24"/>
          <w:szCs w:val="24"/>
        </w:rPr>
      </w:pPr>
      <w:r w:rsidRPr="00263BB8">
        <w:rPr>
          <w:rFonts w:ascii="Times New Roman" w:hAnsi="Times New Roman"/>
          <w:bCs/>
          <w:sz w:val="24"/>
          <w:szCs w:val="24"/>
        </w:rPr>
        <w:t>Politika prihoda za nivo Unsko-sanskog kantona................................................</w:t>
      </w:r>
      <w:r w:rsidR="00263BB8">
        <w:rPr>
          <w:rFonts w:ascii="Times New Roman" w:hAnsi="Times New Roman"/>
          <w:bCs/>
          <w:sz w:val="24"/>
          <w:szCs w:val="24"/>
        </w:rPr>
        <w:t>.</w:t>
      </w:r>
      <w:r w:rsidRPr="00263BB8">
        <w:rPr>
          <w:rFonts w:ascii="Times New Roman" w:hAnsi="Times New Roman"/>
          <w:bCs/>
          <w:sz w:val="24"/>
          <w:szCs w:val="24"/>
        </w:rPr>
        <w:t>.</w:t>
      </w:r>
      <w:r w:rsidR="008E6221" w:rsidRPr="00263BB8">
        <w:rPr>
          <w:rFonts w:ascii="Times New Roman" w:hAnsi="Times New Roman"/>
          <w:bCs/>
          <w:sz w:val="24"/>
          <w:szCs w:val="24"/>
        </w:rPr>
        <w:t>2</w:t>
      </w:r>
      <w:r w:rsidR="00263BB8">
        <w:rPr>
          <w:rFonts w:ascii="Times New Roman" w:hAnsi="Times New Roman"/>
          <w:bCs/>
          <w:sz w:val="24"/>
          <w:szCs w:val="24"/>
        </w:rPr>
        <w:t>7</w:t>
      </w:r>
    </w:p>
    <w:p w:rsidR="00066690" w:rsidRPr="00263BB8" w:rsidRDefault="00066690" w:rsidP="00887C88">
      <w:pPr>
        <w:pStyle w:val="ListParagraph"/>
        <w:numPr>
          <w:ilvl w:val="1"/>
          <w:numId w:val="16"/>
        </w:numPr>
        <w:spacing w:after="160" w:line="259" w:lineRule="auto"/>
        <w:jc w:val="both"/>
        <w:rPr>
          <w:rFonts w:ascii="Times New Roman" w:hAnsi="Times New Roman"/>
          <w:bCs/>
          <w:sz w:val="24"/>
          <w:szCs w:val="24"/>
        </w:rPr>
      </w:pPr>
      <w:r w:rsidRPr="00263BB8">
        <w:rPr>
          <w:rFonts w:ascii="Times New Roman" w:hAnsi="Times New Roman"/>
          <w:bCs/>
          <w:sz w:val="24"/>
          <w:szCs w:val="24"/>
        </w:rPr>
        <w:t>Ukupni prihodi Unsko-sanskog kantona...............................................................2</w:t>
      </w:r>
      <w:r w:rsidR="00263BB8">
        <w:rPr>
          <w:rFonts w:ascii="Times New Roman" w:hAnsi="Times New Roman"/>
          <w:bCs/>
          <w:sz w:val="24"/>
          <w:szCs w:val="24"/>
        </w:rPr>
        <w:t>9</w:t>
      </w:r>
    </w:p>
    <w:p w:rsidR="00066690" w:rsidRPr="00263BB8" w:rsidRDefault="00263BB8" w:rsidP="00263BB8">
      <w:pPr>
        <w:pStyle w:val="ListParagraph"/>
        <w:numPr>
          <w:ilvl w:val="1"/>
          <w:numId w:val="16"/>
        </w:numPr>
        <w:spacing w:after="160" w:line="259" w:lineRule="auto"/>
        <w:rPr>
          <w:rFonts w:ascii="Times New Roman" w:hAnsi="Times New Roman"/>
          <w:bCs/>
          <w:sz w:val="24"/>
          <w:szCs w:val="24"/>
        </w:rPr>
      </w:pPr>
      <w:r>
        <w:rPr>
          <w:rFonts w:ascii="Times New Roman" w:hAnsi="Times New Roman"/>
          <w:sz w:val="24"/>
          <w:szCs w:val="24"/>
          <w:lang w:val="bs-Latn-BA" w:eastAsia="bs-Latn-BA"/>
        </w:rPr>
        <w:t xml:space="preserve">Prihodi i rashodi </w:t>
      </w:r>
      <w:r w:rsidR="005C4244" w:rsidRPr="00263BB8">
        <w:rPr>
          <w:rFonts w:ascii="Times New Roman" w:hAnsi="Times New Roman"/>
          <w:sz w:val="24"/>
          <w:szCs w:val="24"/>
          <w:lang w:val="bs-Latn-BA" w:eastAsia="bs-Latn-BA"/>
        </w:rPr>
        <w:t>JU„ Direkcija regionalnih cesta Unsko-sanskog kantona“ Bihać</w:t>
      </w:r>
      <w:r w:rsidR="007B4781" w:rsidRPr="00263BB8">
        <w:rPr>
          <w:rFonts w:ascii="Times New Roman" w:hAnsi="Times New Roman"/>
          <w:sz w:val="24"/>
          <w:szCs w:val="24"/>
          <w:lang w:val="bs-Latn-BA" w:eastAsia="bs-Latn-BA"/>
        </w:rPr>
        <w:t>)</w:t>
      </w:r>
      <w:r>
        <w:rPr>
          <w:rFonts w:ascii="Times New Roman" w:hAnsi="Times New Roman"/>
          <w:sz w:val="24"/>
          <w:szCs w:val="24"/>
          <w:lang w:val="bs-Latn-BA" w:eastAsia="bs-Latn-BA"/>
        </w:rPr>
        <w:t xml:space="preserve"> ....................................................................................................</w:t>
      </w:r>
      <w:r w:rsidR="005C4244" w:rsidRPr="00263BB8">
        <w:rPr>
          <w:rFonts w:ascii="Times New Roman" w:hAnsi="Times New Roman"/>
          <w:sz w:val="24"/>
          <w:szCs w:val="24"/>
          <w:lang w:val="bs-Latn-BA" w:eastAsia="bs-Latn-BA"/>
        </w:rPr>
        <w:t>.....</w:t>
      </w:r>
      <w:r w:rsidR="00066690" w:rsidRPr="00263BB8">
        <w:rPr>
          <w:sz w:val="24"/>
          <w:szCs w:val="24"/>
        </w:rPr>
        <w:t>..........................</w:t>
      </w:r>
      <w:r>
        <w:rPr>
          <w:rFonts w:ascii="Times New Roman" w:hAnsi="Times New Roman"/>
          <w:sz w:val="24"/>
          <w:szCs w:val="24"/>
        </w:rPr>
        <w:t>31</w:t>
      </w:r>
    </w:p>
    <w:p w:rsidR="00066690" w:rsidRPr="00256AD0" w:rsidRDefault="00066690" w:rsidP="00887C88">
      <w:pPr>
        <w:pStyle w:val="ListParagraph"/>
        <w:numPr>
          <w:ilvl w:val="0"/>
          <w:numId w:val="16"/>
        </w:numPr>
        <w:spacing w:after="160" w:line="259" w:lineRule="auto"/>
        <w:jc w:val="both"/>
        <w:rPr>
          <w:rFonts w:ascii="Times New Roman" w:hAnsi="Times New Roman"/>
          <w:b/>
          <w:sz w:val="24"/>
          <w:szCs w:val="24"/>
        </w:rPr>
      </w:pPr>
      <w:r w:rsidRPr="00256AD0">
        <w:rPr>
          <w:rFonts w:ascii="Times New Roman" w:hAnsi="Times New Roman"/>
          <w:b/>
          <w:sz w:val="24"/>
          <w:szCs w:val="24"/>
          <w:lang w:val="hr-HR"/>
        </w:rPr>
        <w:t>Struktura potrošnje u javnom sektoru</w:t>
      </w:r>
    </w:p>
    <w:p w:rsidR="00066690" w:rsidRPr="00C8477C" w:rsidRDefault="00066690" w:rsidP="00066690">
      <w:pPr>
        <w:pStyle w:val="ListParagraph"/>
        <w:jc w:val="both"/>
        <w:rPr>
          <w:rFonts w:ascii="Times New Roman" w:hAnsi="Times New Roman"/>
          <w:b/>
          <w:sz w:val="24"/>
          <w:szCs w:val="24"/>
        </w:rPr>
      </w:pPr>
      <w:r w:rsidRPr="00256AD0">
        <w:rPr>
          <w:rFonts w:ascii="Times New Roman" w:hAnsi="Times New Roman"/>
          <w:sz w:val="28"/>
          <w:szCs w:val="28"/>
          <w:lang w:val="hr-HR"/>
        </w:rPr>
        <w:t>(</w:t>
      </w:r>
      <w:r>
        <w:rPr>
          <w:rFonts w:ascii="Times New Roman" w:hAnsi="Times New Roman"/>
          <w:sz w:val="28"/>
          <w:szCs w:val="28"/>
          <w:lang w:val="hr-HR"/>
        </w:rPr>
        <w:t xml:space="preserve"> </w:t>
      </w:r>
      <w:r w:rsidRPr="00256AD0">
        <w:rPr>
          <w:rFonts w:ascii="Times New Roman" w:hAnsi="Times New Roman"/>
          <w:sz w:val="24"/>
          <w:szCs w:val="24"/>
        </w:rPr>
        <w:t>Politika ra</w:t>
      </w:r>
      <w:r w:rsidR="00981E80">
        <w:rPr>
          <w:rFonts w:ascii="Times New Roman" w:hAnsi="Times New Roman"/>
          <w:sz w:val="24"/>
          <w:szCs w:val="24"/>
        </w:rPr>
        <w:t>s</w:t>
      </w:r>
      <w:r w:rsidRPr="00256AD0">
        <w:rPr>
          <w:rFonts w:ascii="Times New Roman" w:hAnsi="Times New Roman"/>
          <w:sz w:val="24"/>
          <w:szCs w:val="24"/>
        </w:rPr>
        <w:t>hoda za Unsko-sanski kanton )</w:t>
      </w:r>
      <w:r w:rsidRPr="00C8477C">
        <w:rPr>
          <w:rFonts w:ascii="Times New Roman" w:hAnsi="Times New Roman"/>
          <w:b/>
          <w:sz w:val="24"/>
          <w:szCs w:val="24"/>
        </w:rPr>
        <w:t>.......................................</w:t>
      </w:r>
      <w:r>
        <w:rPr>
          <w:rFonts w:ascii="Times New Roman" w:hAnsi="Times New Roman"/>
          <w:b/>
          <w:sz w:val="24"/>
          <w:szCs w:val="24"/>
        </w:rPr>
        <w:t>...............................</w:t>
      </w:r>
      <w:r w:rsidR="008E6221">
        <w:rPr>
          <w:rFonts w:ascii="Times New Roman" w:hAnsi="Times New Roman"/>
          <w:b/>
          <w:sz w:val="24"/>
          <w:szCs w:val="24"/>
        </w:rPr>
        <w:t>3</w:t>
      </w:r>
      <w:r w:rsidR="00263BB8">
        <w:rPr>
          <w:rFonts w:ascii="Times New Roman" w:hAnsi="Times New Roman"/>
          <w:b/>
          <w:sz w:val="24"/>
          <w:szCs w:val="24"/>
        </w:rPr>
        <w:t>4</w:t>
      </w:r>
    </w:p>
    <w:p w:rsidR="00066690" w:rsidRPr="00ED5C99" w:rsidRDefault="00066690" w:rsidP="00887C88">
      <w:pPr>
        <w:pStyle w:val="ListParagraph"/>
        <w:numPr>
          <w:ilvl w:val="1"/>
          <w:numId w:val="16"/>
        </w:numPr>
        <w:spacing w:after="160" w:line="259" w:lineRule="auto"/>
        <w:jc w:val="both"/>
        <w:rPr>
          <w:rFonts w:ascii="Times New Roman" w:hAnsi="Times New Roman"/>
          <w:sz w:val="24"/>
          <w:szCs w:val="24"/>
        </w:rPr>
      </w:pPr>
      <w:r>
        <w:rPr>
          <w:rFonts w:ascii="Times New Roman" w:hAnsi="Times New Roman"/>
          <w:sz w:val="24"/>
          <w:szCs w:val="24"/>
        </w:rPr>
        <w:t xml:space="preserve">Alokacija sredstava po ekonomskim </w:t>
      </w:r>
      <w:r w:rsidRPr="00ED5C99">
        <w:rPr>
          <w:rFonts w:ascii="Times New Roman" w:hAnsi="Times New Roman"/>
          <w:sz w:val="24"/>
          <w:szCs w:val="24"/>
        </w:rPr>
        <w:t>klasifikacijama.............................................</w:t>
      </w:r>
      <w:r w:rsidR="008E6221" w:rsidRPr="00ED5C99">
        <w:rPr>
          <w:rFonts w:ascii="Times New Roman" w:hAnsi="Times New Roman"/>
          <w:sz w:val="24"/>
          <w:szCs w:val="24"/>
        </w:rPr>
        <w:t>3</w:t>
      </w:r>
      <w:r w:rsidR="00263BB8" w:rsidRPr="00ED5C99">
        <w:rPr>
          <w:rFonts w:ascii="Times New Roman" w:hAnsi="Times New Roman"/>
          <w:sz w:val="24"/>
          <w:szCs w:val="24"/>
        </w:rPr>
        <w:t>5</w:t>
      </w:r>
    </w:p>
    <w:p w:rsidR="00ED5C99" w:rsidRPr="00ED5C99" w:rsidRDefault="00ED5C99" w:rsidP="00887C88">
      <w:pPr>
        <w:pStyle w:val="ListParagraph"/>
        <w:numPr>
          <w:ilvl w:val="1"/>
          <w:numId w:val="16"/>
        </w:numPr>
        <w:spacing w:after="160" w:line="259" w:lineRule="auto"/>
        <w:jc w:val="both"/>
        <w:rPr>
          <w:rFonts w:ascii="Times New Roman" w:hAnsi="Times New Roman"/>
          <w:bCs/>
          <w:sz w:val="24"/>
          <w:szCs w:val="24"/>
        </w:rPr>
      </w:pPr>
      <w:r w:rsidRPr="00ED5C99">
        <w:rPr>
          <w:rFonts w:ascii="Times New Roman" w:hAnsi="Times New Roman"/>
          <w:bCs/>
          <w:sz w:val="24"/>
          <w:szCs w:val="24"/>
        </w:rPr>
        <w:t>Budžetski prioriteti za period 2021-2023. Godine</w:t>
      </w:r>
      <w:r>
        <w:rPr>
          <w:rFonts w:ascii="Times New Roman" w:hAnsi="Times New Roman"/>
          <w:bCs/>
          <w:sz w:val="24"/>
          <w:szCs w:val="24"/>
        </w:rPr>
        <w:t>………………………………..38</w:t>
      </w:r>
    </w:p>
    <w:p w:rsidR="00066690" w:rsidRPr="00C8477C" w:rsidRDefault="00066690" w:rsidP="00887C88">
      <w:pPr>
        <w:pStyle w:val="ListParagraph"/>
        <w:numPr>
          <w:ilvl w:val="0"/>
          <w:numId w:val="16"/>
        </w:numPr>
        <w:spacing w:after="160" w:line="259" w:lineRule="auto"/>
        <w:jc w:val="both"/>
        <w:rPr>
          <w:rFonts w:ascii="Times New Roman" w:hAnsi="Times New Roman"/>
          <w:b/>
          <w:sz w:val="24"/>
          <w:szCs w:val="24"/>
        </w:rPr>
      </w:pPr>
      <w:r w:rsidRPr="00C8477C">
        <w:rPr>
          <w:rFonts w:ascii="Times New Roman" w:hAnsi="Times New Roman"/>
          <w:b/>
          <w:sz w:val="24"/>
          <w:szCs w:val="24"/>
        </w:rPr>
        <w:t>Budžetski prioriteti za period 20</w:t>
      </w:r>
      <w:r w:rsidR="004746DD">
        <w:rPr>
          <w:rFonts w:ascii="Times New Roman" w:hAnsi="Times New Roman"/>
          <w:b/>
          <w:sz w:val="24"/>
          <w:szCs w:val="24"/>
        </w:rPr>
        <w:t>2</w:t>
      </w:r>
      <w:r w:rsidR="00B9276D">
        <w:rPr>
          <w:rFonts w:ascii="Times New Roman" w:hAnsi="Times New Roman"/>
          <w:b/>
          <w:sz w:val="24"/>
          <w:szCs w:val="24"/>
        </w:rPr>
        <w:t>1</w:t>
      </w:r>
      <w:r w:rsidRPr="00C8477C">
        <w:rPr>
          <w:rFonts w:ascii="Times New Roman" w:hAnsi="Times New Roman"/>
          <w:b/>
          <w:sz w:val="24"/>
          <w:szCs w:val="24"/>
        </w:rPr>
        <w:t>.-20</w:t>
      </w:r>
      <w:r>
        <w:rPr>
          <w:rFonts w:ascii="Times New Roman" w:hAnsi="Times New Roman"/>
          <w:b/>
          <w:sz w:val="24"/>
          <w:szCs w:val="24"/>
        </w:rPr>
        <w:t>2</w:t>
      </w:r>
      <w:r w:rsidR="00B9276D">
        <w:rPr>
          <w:rFonts w:ascii="Times New Roman" w:hAnsi="Times New Roman"/>
          <w:b/>
          <w:sz w:val="24"/>
          <w:szCs w:val="24"/>
        </w:rPr>
        <w:t>3</w:t>
      </w:r>
      <w:r w:rsidRPr="00C8477C">
        <w:rPr>
          <w:rFonts w:ascii="Times New Roman" w:hAnsi="Times New Roman"/>
          <w:b/>
          <w:sz w:val="24"/>
          <w:szCs w:val="24"/>
        </w:rPr>
        <w:t>.godina.........................</w:t>
      </w:r>
      <w:r>
        <w:rPr>
          <w:rFonts w:ascii="Times New Roman" w:hAnsi="Times New Roman"/>
          <w:b/>
          <w:sz w:val="24"/>
          <w:szCs w:val="24"/>
        </w:rPr>
        <w:t>.................................</w:t>
      </w:r>
      <w:r w:rsidR="008E6221">
        <w:rPr>
          <w:rFonts w:ascii="Times New Roman" w:hAnsi="Times New Roman"/>
          <w:b/>
          <w:sz w:val="24"/>
          <w:szCs w:val="24"/>
        </w:rPr>
        <w:t>4</w:t>
      </w:r>
      <w:r w:rsidR="00ED5C99">
        <w:rPr>
          <w:rFonts w:ascii="Times New Roman" w:hAnsi="Times New Roman"/>
          <w:b/>
          <w:sz w:val="24"/>
          <w:szCs w:val="24"/>
        </w:rPr>
        <w:t>0</w:t>
      </w:r>
    </w:p>
    <w:p w:rsidR="00066690" w:rsidRDefault="00066690" w:rsidP="00887C88">
      <w:pPr>
        <w:pStyle w:val="ListParagraph"/>
        <w:numPr>
          <w:ilvl w:val="1"/>
          <w:numId w:val="16"/>
        </w:numPr>
        <w:spacing w:after="160" w:line="259" w:lineRule="auto"/>
        <w:jc w:val="both"/>
        <w:rPr>
          <w:rFonts w:ascii="Times New Roman" w:hAnsi="Times New Roman"/>
          <w:sz w:val="24"/>
          <w:szCs w:val="24"/>
        </w:rPr>
      </w:pPr>
      <w:r>
        <w:rPr>
          <w:rFonts w:ascii="Times New Roman" w:hAnsi="Times New Roman"/>
          <w:sz w:val="24"/>
          <w:szCs w:val="24"/>
        </w:rPr>
        <w:t>Pregled prioriteta budžetskih korisnika Unsko-sanskog kantona</w:t>
      </w:r>
      <w:r w:rsidRPr="00C8477C">
        <w:rPr>
          <w:rFonts w:ascii="Times New Roman" w:hAnsi="Times New Roman"/>
          <w:b/>
          <w:sz w:val="24"/>
          <w:szCs w:val="24"/>
        </w:rPr>
        <w:t>...........................</w:t>
      </w:r>
      <w:r w:rsidR="008E6221">
        <w:rPr>
          <w:rFonts w:ascii="Times New Roman" w:hAnsi="Times New Roman"/>
          <w:b/>
          <w:sz w:val="24"/>
          <w:szCs w:val="24"/>
        </w:rPr>
        <w:t>4</w:t>
      </w:r>
      <w:r w:rsidR="00ED5C99">
        <w:rPr>
          <w:rFonts w:ascii="Times New Roman" w:hAnsi="Times New Roman"/>
          <w:b/>
          <w:sz w:val="24"/>
          <w:szCs w:val="24"/>
        </w:rPr>
        <w:t>0</w:t>
      </w:r>
    </w:p>
    <w:p w:rsidR="00066690" w:rsidRPr="00C8477C" w:rsidRDefault="00066690" w:rsidP="00887C88">
      <w:pPr>
        <w:pStyle w:val="ListParagraph"/>
        <w:numPr>
          <w:ilvl w:val="1"/>
          <w:numId w:val="16"/>
        </w:numPr>
        <w:spacing w:after="160" w:line="259" w:lineRule="auto"/>
        <w:jc w:val="both"/>
        <w:rPr>
          <w:rFonts w:ascii="Times New Roman" w:hAnsi="Times New Roman"/>
          <w:b/>
          <w:sz w:val="24"/>
          <w:szCs w:val="24"/>
        </w:rPr>
      </w:pPr>
      <w:r>
        <w:rPr>
          <w:rFonts w:ascii="Times New Roman" w:hAnsi="Times New Roman"/>
          <w:sz w:val="24"/>
          <w:szCs w:val="24"/>
        </w:rPr>
        <w:t>Tabela ograničenja Budžeta za 20</w:t>
      </w:r>
      <w:r w:rsidR="00BF5682">
        <w:rPr>
          <w:rFonts w:ascii="Times New Roman" w:hAnsi="Times New Roman"/>
          <w:sz w:val="24"/>
          <w:szCs w:val="24"/>
        </w:rPr>
        <w:t>2</w:t>
      </w:r>
      <w:r w:rsidR="00B9276D">
        <w:rPr>
          <w:rFonts w:ascii="Times New Roman" w:hAnsi="Times New Roman"/>
          <w:sz w:val="24"/>
          <w:szCs w:val="24"/>
        </w:rPr>
        <w:t>1</w:t>
      </w:r>
      <w:r>
        <w:rPr>
          <w:rFonts w:ascii="Times New Roman" w:hAnsi="Times New Roman"/>
          <w:sz w:val="24"/>
          <w:szCs w:val="24"/>
        </w:rPr>
        <w:t xml:space="preserve">. </w:t>
      </w:r>
      <w:r w:rsidR="00BF5682">
        <w:rPr>
          <w:rFonts w:ascii="Times New Roman" w:hAnsi="Times New Roman"/>
          <w:sz w:val="24"/>
          <w:szCs w:val="24"/>
        </w:rPr>
        <w:t>g</w:t>
      </w:r>
      <w:r>
        <w:rPr>
          <w:rFonts w:ascii="Times New Roman" w:hAnsi="Times New Roman"/>
          <w:sz w:val="24"/>
          <w:szCs w:val="24"/>
        </w:rPr>
        <w:t>odinu</w:t>
      </w:r>
      <w:r w:rsidR="00BF5682">
        <w:rPr>
          <w:rFonts w:ascii="Times New Roman" w:hAnsi="Times New Roman"/>
          <w:sz w:val="24"/>
          <w:szCs w:val="24"/>
        </w:rPr>
        <w:t xml:space="preserve"> po korisnicima</w:t>
      </w:r>
      <w:r w:rsidRPr="00C8477C">
        <w:rPr>
          <w:rFonts w:ascii="Times New Roman" w:hAnsi="Times New Roman"/>
          <w:b/>
          <w:sz w:val="24"/>
          <w:szCs w:val="24"/>
        </w:rPr>
        <w:t>...............................</w:t>
      </w:r>
      <w:r w:rsidR="00BF5682">
        <w:rPr>
          <w:rFonts w:ascii="Times New Roman" w:hAnsi="Times New Roman"/>
          <w:b/>
          <w:sz w:val="24"/>
          <w:szCs w:val="24"/>
        </w:rPr>
        <w:t>.</w:t>
      </w:r>
      <w:r w:rsidRPr="00C8477C">
        <w:rPr>
          <w:rFonts w:ascii="Times New Roman" w:hAnsi="Times New Roman"/>
          <w:b/>
          <w:sz w:val="24"/>
          <w:szCs w:val="24"/>
        </w:rPr>
        <w:t>4</w:t>
      </w:r>
      <w:r w:rsidR="00ED5C99">
        <w:rPr>
          <w:rFonts w:ascii="Times New Roman" w:hAnsi="Times New Roman"/>
          <w:b/>
          <w:sz w:val="24"/>
          <w:szCs w:val="24"/>
        </w:rPr>
        <w:t>4</w:t>
      </w:r>
    </w:p>
    <w:p w:rsidR="00066690" w:rsidRPr="00C8477C" w:rsidRDefault="00066690" w:rsidP="00066690">
      <w:pPr>
        <w:jc w:val="both"/>
        <w:rPr>
          <w:b/>
          <w:sz w:val="24"/>
          <w:szCs w:val="24"/>
        </w:rPr>
      </w:pPr>
      <w:r w:rsidRPr="00C8477C">
        <w:rPr>
          <w:b/>
          <w:sz w:val="24"/>
          <w:szCs w:val="24"/>
        </w:rPr>
        <w:t xml:space="preserve">   II ZAKLJUČAK.....................................................................................</w:t>
      </w:r>
      <w:r>
        <w:rPr>
          <w:b/>
          <w:sz w:val="24"/>
          <w:szCs w:val="24"/>
        </w:rPr>
        <w:t>...................................</w:t>
      </w:r>
      <w:r w:rsidR="00ED5C99">
        <w:rPr>
          <w:b/>
          <w:sz w:val="24"/>
          <w:szCs w:val="24"/>
        </w:rPr>
        <w:t>46</w:t>
      </w:r>
    </w:p>
    <w:p w:rsidR="00066690" w:rsidRPr="00C8477C" w:rsidRDefault="00066690" w:rsidP="00066690">
      <w:pPr>
        <w:jc w:val="both"/>
        <w:rPr>
          <w:b/>
          <w:sz w:val="24"/>
          <w:szCs w:val="24"/>
        </w:rPr>
      </w:pPr>
      <w:r w:rsidRPr="00C8477C">
        <w:rPr>
          <w:b/>
          <w:sz w:val="24"/>
          <w:szCs w:val="24"/>
        </w:rPr>
        <w:t xml:space="preserve">   III LISTA SKRAĆENICA....................................................................</w:t>
      </w:r>
      <w:r>
        <w:rPr>
          <w:b/>
          <w:sz w:val="24"/>
          <w:szCs w:val="24"/>
        </w:rPr>
        <w:t>....................................</w:t>
      </w:r>
      <w:r w:rsidR="00ED5C99">
        <w:rPr>
          <w:b/>
          <w:sz w:val="24"/>
          <w:szCs w:val="24"/>
        </w:rPr>
        <w:t>48</w:t>
      </w:r>
    </w:p>
    <w:p w:rsidR="00066690" w:rsidRPr="00C8477C" w:rsidRDefault="00066690" w:rsidP="00066690">
      <w:pPr>
        <w:jc w:val="both"/>
        <w:rPr>
          <w:b/>
          <w:sz w:val="24"/>
          <w:szCs w:val="24"/>
        </w:rPr>
      </w:pPr>
      <w:r w:rsidRPr="00C8477C">
        <w:rPr>
          <w:b/>
          <w:sz w:val="24"/>
          <w:szCs w:val="24"/>
        </w:rPr>
        <w:t xml:space="preserve">   IV DODATAK.......................................................................................</w:t>
      </w:r>
      <w:r>
        <w:rPr>
          <w:b/>
          <w:sz w:val="24"/>
          <w:szCs w:val="24"/>
        </w:rPr>
        <w:t>....................................</w:t>
      </w:r>
      <w:r w:rsidR="00ED5C99">
        <w:rPr>
          <w:b/>
          <w:sz w:val="24"/>
          <w:szCs w:val="24"/>
        </w:rPr>
        <w:t>49</w:t>
      </w:r>
      <w:r w:rsidRPr="00C8477C">
        <w:rPr>
          <w:b/>
          <w:sz w:val="24"/>
          <w:szCs w:val="24"/>
        </w:rPr>
        <w:t xml:space="preserve"> </w:t>
      </w:r>
    </w:p>
    <w:p w:rsidR="00066690" w:rsidRPr="00766C2A" w:rsidRDefault="00066690" w:rsidP="00066690">
      <w:pPr>
        <w:ind w:left="720"/>
        <w:jc w:val="both"/>
        <w:rPr>
          <w:sz w:val="24"/>
          <w:szCs w:val="24"/>
        </w:rPr>
      </w:pPr>
    </w:p>
    <w:p w:rsidR="00066690" w:rsidRDefault="00066690" w:rsidP="00066690">
      <w:pPr>
        <w:jc w:val="both"/>
        <w:rPr>
          <w:sz w:val="24"/>
          <w:szCs w:val="24"/>
        </w:rPr>
      </w:pPr>
    </w:p>
    <w:p w:rsidR="00066690" w:rsidRPr="009446DA" w:rsidRDefault="00066690" w:rsidP="00066690">
      <w:pPr>
        <w:jc w:val="both"/>
        <w:rPr>
          <w:sz w:val="24"/>
          <w:szCs w:val="24"/>
        </w:rPr>
      </w:pPr>
    </w:p>
    <w:p w:rsidR="00492E6E" w:rsidRDefault="00492E6E" w:rsidP="00F72B92">
      <w:pPr>
        <w:tabs>
          <w:tab w:val="left" w:pos="312"/>
          <w:tab w:val="left" w:pos="546"/>
        </w:tabs>
        <w:rPr>
          <w:noProof/>
          <w:sz w:val="28"/>
          <w:szCs w:val="28"/>
        </w:rPr>
      </w:pPr>
    </w:p>
    <w:p w:rsidR="00066690" w:rsidRDefault="00066690" w:rsidP="00F72B92">
      <w:pPr>
        <w:tabs>
          <w:tab w:val="left" w:pos="312"/>
          <w:tab w:val="left" w:pos="546"/>
        </w:tabs>
        <w:rPr>
          <w:noProof/>
          <w:sz w:val="28"/>
          <w:szCs w:val="28"/>
        </w:rPr>
      </w:pPr>
    </w:p>
    <w:p w:rsidR="00066690" w:rsidRDefault="00066690" w:rsidP="00F72B92">
      <w:pPr>
        <w:tabs>
          <w:tab w:val="left" w:pos="312"/>
          <w:tab w:val="left" w:pos="546"/>
        </w:tabs>
        <w:rPr>
          <w:noProof/>
          <w:sz w:val="28"/>
          <w:szCs w:val="28"/>
        </w:rPr>
      </w:pPr>
    </w:p>
    <w:p w:rsidR="00066690" w:rsidRDefault="00066690" w:rsidP="00F72B92">
      <w:pPr>
        <w:tabs>
          <w:tab w:val="left" w:pos="312"/>
          <w:tab w:val="left" w:pos="546"/>
        </w:tabs>
        <w:rPr>
          <w:noProof/>
          <w:sz w:val="28"/>
          <w:szCs w:val="28"/>
        </w:rPr>
      </w:pPr>
    </w:p>
    <w:p w:rsidR="00066690" w:rsidRDefault="00066690" w:rsidP="00F72B92">
      <w:pPr>
        <w:tabs>
          <w:tab w:val="left" w:pos="312"/>
          <w:tab w:val="left" w:pos="546"/>
        </w:tabs>
        <w:rPr>
          <w:noProof/>
          <w:sz w:val="28"/>
          <w:szCs w:val="28"/>
        </w:rPr>
      </w:pPr>
    </w:p>
    <w:p w:rsidR="00066690" w:rsidRDefault="00066690" w:rsidP="00F72B92">
      <w:pPr>
        <w:tabs>
          <w:tab w:val="left" w:pos="312"/>
          <w:tab w:val="left" w:pos="546"/>
        </w:tabs>
        <w:rPr>
          <w:noProof/>
          <w:sz w:val="28"/>
          <w:szCs w:val="28"/>
        </w:rPr>
      </w:pPr>
    </w:p>
    <w:p w:rsidR="00066690" w:rsidRDefault="00066690" w:rsidP="00F72B92">
      <w:pPr>
        <w:tabs>
          <w:tab w:val="left" w:pos="312"/>
          <w:tab w:val="left" w:pos="546"/>
        </w:tabs>
        <w:rPr>
          <w:noProof/>
          <w:sz w:val="28"/>
          <w:szCs w:val="28"/>
        </w:rPr>
      </w:pPr>
    </w:p>
    <w:p w:rsidR="00066690" w:rsidRDefault="00066690" w:rsidP="00F72B92">
      <w:pPr>
        <w:tabs>
          <w:tab w:val="left" w:pos="312"/>
          <w:tab w:val="left" w:pos="546"/>
        </w:tabs>
        <w:rPr>
          <w:noProof/>
          <w:sz w:val="28"/>
          <w:szCs w:val="28"/>
        </w:rPr>
      </w:pPr>
    </w:p>
    <w:p w:rsidR="00066690" w:rsidRDefault="00066690" w:rsidP="00F72B92">
      <w:pPr>
        <w:tabs>
          <w:tab w:val="left" w:pos="312"/>
          <w:tab w:val="left" w:pos="546"/>
        </w:tabs>
        <w:rPr>
          <w:noProof/>
          <w:sz w:val="28"/>
          <w:szCs w:val="28"/>
        </w:rPr>
      </w:pPr>
    </w:p>
    <w:p w:rsidR="00066690" w:rsidRDefault="00066690" w:rsidP="00F72B92">
      <w:pPr>
        <w:tabs>
          <w:tab w:val="left" w:pos="312"/>
          <w:tab w:val="left" w:pos="546"/>
        </w:tabs>
        <w:rPr>
          <w:noProof/>
          <w:sz w:val="28"/>
          <w:szCs w:val="28"/>
        </w:rPr>
      </w:pPr>
    </w:p>
    <w:p w:rsidR="00066690" w:rsidRDefault="00066690" w:rsidP="00F72B92">
      <w:pPr>
        <w:tabs>
          <w:tab w:val="left" w:pos="312"/>
          <w:tab w:val="left" w:pos="546"/>
        </w:tabs>
        <w:rPr>
          <w:noProof/>
          <w:sz w:val="28"/>
          <w:szCs w:val="28"/>
        </w:rPr>
      </w:pPr>
    </w:p>
    <w:p w:rsidR="00066690" w:rsidRDefault="00066690" w:rsidP="00F72B92">
      <w:pPr>
        <w:tabs>
          <w:tab w:val="left" w:pos="312"/>
          <w:tab w:val="left" w:pos="546"/>
        </w:tabs>
        <w:rPr>
          <w:noProof/>
          <w:sz w:val="28"/>
          <w:szCs w:val="28"/>
        </w:rPr>
      </w:pPr>
    </w:p>
    <w:p w:rsidR="00C128BF" w:rsidRPr="005F0507" w:rsidRDefault="0026430A" w:rsidP="00CF225A">
      <w:pPr>
        <w:pStyle w:val="Heading1"/>
        <w:jc w:val="center"/>
        <w:rPr>
          <w:rFonts w:ascii="Cambria" w:hAnsi="Cambria" w:cs="Times New Roman"/>
        </w:rPr>
      </w:pPr>
      <w:bookmarkStart w:id="0" w:name="_Toc265752048"/>
      <w:bookmarkStart w:id="1" w:name="_Toc265752138"/>
      <w:bookmarkStart w:id="2" w:name="_Toc266777666"/>
      <w:bookmarkStart w:id="3" w:name="_Toc266779166"/>
      <w:bookmarkStart w:id="4" w:name="_Toc422899902"/>
      <w:r w:rsidRPr="005F0507">
        <w:rPr>
          <w:rFonts w:ascii="Cambria" w:hAnsi="Cambria" w:cs="Times New Roman"/>
        </w:rPr>
        <w:lastRenderedPageBreak/>
        <w:t xml:space="preserve">I </w:t>
      </w:r>
      <w:r w:rsidR="00424565" w:rsidRPr="005F0507">
        <w:rPr>
          <w:rFonts w:ascii="Cambria" w:hAnsi="Cambria" w:cs="Times New Roman"/>
        </w:rPr>
        <w:t xml:space="preserve"> </w:t>
      </w:r>
      <w:r w:rsidR="0004172D" w:rsidRPr="005F0507">
        <w:rPr>
          <w:rFonts w:ascii="Cambria" w:hAnsi="Cambria" w:cs="Times New Roman"/>
        </w:rPr>
        <w:t>U</w:t>
      </w:r>
      <w:r w:rsidR="00082AFC" w:rsidRPr="005F0507">
        <w:rPr>
          <w:rFonts w:ascii="Cambria" w:hAnsi="Cambria" w:cs="Times New Roman"/>
        </w:rPr>
        <w:t>VOD U DOKUMENT OKVIRNOG BUDŽETA</w:t>
      </w:r>
      <w:bookmarkEnd w:id="0"/>
      <w:bookmarkEnd w:id="1"/>
      <w:bookmarkEnd w:id="2"/>
      <w:bookmarkEnd w:id="3"/>
      <w:bookmarkEnd w:id="4"/>
    </w:p>
    <w:p w:rsidR="00CA03CE" w:rsidRDefault="00A9603A" w:rsidP="00CA03CE">
      <w:pPr>
        <w:rPr>
          <w:lang w:val="fr-FR"/>
        </w:rPr>
      </w:pPr>
      <w:r w:rsidRPr="00B66B69">
        <w:rPr>
          <w:lang w:val="fr-FR"/>
        </w:rPr>
        <w:t xml:space="preserve">        </w:t>
      </w:r>
    </w:p>
    <w:p w:rsidR="00CF225A" w:rsidRPr="00612D2C" w:rsidRDefault="00A9603A" w:rsidP="00612D2C">
      <w:pPr>
        <w:jc w:val="both"/>
        <w:rPr>
          <w:rStyle w:val="Footer"/>
          <w:bCs/>
          <w:sz w:val="24"/>
          <w:szCs w:val="24"/>
        </w:rPr>
      </w:pPr>
      <w:r w:rsidRPr="00612D2C">
        <w:rPr>
          <w:bCs/>
          <w:lang w:val="fr-FR"/>
        </w:rPr>
        <w:t xml:space="preserve">   </w:t>
      </w:r>
      <w:bookmarkStart w:id="5" w:name="_Toc422899583"/>
      <w:bookmarkStart w:id="6" w:name="_Toc422899903"/>
      <w:r w:rsidR="00CF225A" w:rsidRPr="00612D2C">
        <w:rPr>
          <w:rStyle w:val="Footer"/>
          <w:bCs/>
          <w:sz w:val="24"/>
          <w:szCs w:val="24"/>
        </w:rPr>
        <w:t>Izrada Dokumenta okvirnog budžeta (DOB) za trogodišnji period, kao ključnog strateškog dokumenta koji veže vladine politike i budžet, je praksa na većini nivoa vlasti u Bosni i Hercegovini, pa tako i u Unsko-sanskom kantonu. DOB je konačni rezultat srednjoročnog procesa planiranja i izrade budžeta u „10 koraka“ i predstavlja moderni proces srednjoročnog planiranja budžeta koji:</w:t>
      </w:r>
      <w:bookmarkEnd w:id="5"/>
      <w:bookmarkEnd w:id="6"/>
    </w:p>
    <w:p w:rsidR="00CF225A" w:rsidRPr="00612D2C" w:rsidRDefault="00CF225A" w:rsidP="00887C88">
      <w:pPr>
        <w:pStyle w:val="BodyText2Char"/>
        <w:numPr>
          <w:ilvl w:val="0"/>
          <w:numId w:val="8"/>
        </w:numPr>
        <w:jc w:val="both"/>
        <w:rPr>
          <w:rStyle w:val="Footer"/>
          <w:bCs/>
          <w:sz w:val="24"/>
          <w:szCs w:val="24"/>
        </w:rPr>
      </w:pPr>
      <w:bookmarkStart w:id="7" w:name="_Toc422899584"/>
      <w:bookmarkStart w:id="8" w:name="_Toc422899904"/>
      <w:r w:rsidRPr="00612D2C">
        <w:rPr>
          <w:rStyle w:val="Footer"/>
          <w:bCs/>
          <w:sz w:val="24"/>
          <w:szCs w:val="24"/>
        </w:rPr>
        <w:t>ima jasno definiran budžetski kalendar i raspodjelu odgovornosti,</w:t>
      </w:r>
      <w:bookmarkEnd w:id="7"/>
      <w:bookmarkEnd w:id="8"/>
      <w:r w:rsidRPr="00612D2C">
        <w:rPr>
          <w:rStyle w:val="Footer"/>
          <w:bCs/>
          <w:sz w:val="24"/>
          <w:szCs w:val="24"/>
        </w:rPr>
        <w:t xml:space="preserve"> </w:t>
      </w:r>
    </w:p>
    <w:p w:rsidR="00CF225A" w:rsidRPr="00612D2C" w:rsidRDefault="00CF225A" w:rsidP="00887C88">
      <w:pPr>
        <w:pStyle w:val="BodyText2Char"/>
        <w:numPr>
          <w:ilvl w:val="0"/>
          <w:numId w:val="8"/>
        </w:numPr>
        <w:jc w:val="both"/>
        <w:rPr>
          <w:rStyle w:val="Footer"/>
          <w:bCs/>
          <w:sz w:val="24"/>
          <w:szCs w:val="24"/>
        </w:rPr>
      </w:pPr>
      <w:bookmarkStart w:id="9" w:name="_Toc422899585"/>
      <w:bookmarkStart w:id="10" w:name="_Toc422899905"/>
      <w:r w:rsidRPr="00612D2C">
        <w:rPr>
          <w:rStyle w:val="Footer"/>
          <w:bCs/>
          <w:sz w:val="24"/>
          <w:szCs w:val="24"/>
        </w:rPr>
        <w:t>ima jasnu fiskalnu strategiju zasnovanu na nivou raspoloživih vladinih resursa,</w:t>
      </w:r>
      <w:bookmarkEnd w:id="9"/>
      <w:bookmarkEnd w:id="10"/>
      <w:r w:rsidRPr="00612D2C">
        <w:rPr>
          <w:rStyle w:val="Footer"/>
          <w:bCs/>
          <w:sz w:val="24"/>
          <w:szCs w:val="24"/>
        </w:rPr>
        <w:t xml:space="preserve"> </w:t>
      </w:r>
    </w:p>
    <w:p w:rsidR="00CF225A" w:rsidRPr="00612D2C" w:rsidRDefault="00CF225A" w:rsidP="00887C88">
      <w:pPr>
        <w:pStyle w:val="BodyText2Char"/>
        <w:numPr>
          <w:ilvl w:val="0"/>
          <w:numId w:val="8"/>
        </w:numPr>
        <w:jc w:val="both"/>
        <w:rPr>
          <w:rStyle w:val="Footer"/>
          <w:bCs/>
          <w:sz w:val="24"/>
          <w:szCs w:val="24"/>
        </w:rPr>
      </w:pPr>
      <w:bookmarkStart w:id="11" w:name="_Toc422899586"/>
      <w:bookmarkStart w:id="12" w:name="_Toc422899906"/>
      <w:r w:rsidRPr="00612D2C">
        <w:rPr>
          <w:rStyle w:val="Footer"/>
          <w:bCs/>
          <w:sz w:val="24"/>
          <w:szCs w:val="24"/>
        </w:rPr>
        <w:t>omogućava raspodjelu ograničenih resursa na najvažnije ekonomske i socijalne prioritetne politike vlade,</w:t>
      </w:r>
      <w:bookmarkEnd w:id="11"/>
      <w:bookmarkEnd w:id="12"/>
      <w:r w:rsidRPr="00612D2C">
        <w:rPr>
          <w:rStyle w:val="Footer"/>
          <w:bCs/>
          <w:sz w:val="24"/>
          <w:szCs w:val="24"/>
        </w:rPr>
        <w:t xml:space="preserve"> </w:t>
      </w:r>
    </w:p>
    <w:p w:rsidR="00CF225A" w:rsidRPr="00612D2C" w:rsidRDefault="00CF225A" w:rsidP="00887C88">
      <w:pPr>
        <w:pStyle w:val="BodyText2Char"/>
        <w:numPr>
          <w:ilvl w:val="0"/>
          <w:numId w:val="8"/>
        </w:numPr>
        <w:jc w:val="both"/>
        <w:rPr>
          <w:rStyle w:val="Footer"/>
          <w:bCs/>
          <w:sz w:val="24"/>
          <w:szCs w:val="24"/>
        </w:rPr>
      </w:pPr>
      <w:bookmarkStart w:id="13" w:name="_Toc422899587"/>
      <w:bookmarkStart w:id="14" w:name="_Toc422899907"/>
      <w:r w:rsidRPr="00612D2C">
        <w:rPr>
          <w:rStyle w:val="Footer"/>
          <w:bCs/>
          <w:sz w:val="24"/>
          <w:szCs w:val="24"/>
        </w:rPr>
        <w:t>unapređuje predvidivost budžetskih politika i finansiranja,</w:t>
      </w:r>
      <w:bookmarkEnd w:id="13"/>
      <w:bookmarkEnd w:id="14"/>
      <w:r w:rsidRPr="00612D2C">
        <w:rPr>
          <w:rStyle w:val="Footer"/>
          <w:bCs/>
          <w:sz w:val="24"/>
          <w:szCs w:val="24"/>
        </w:rPr>
        <w:t xml:space="preserve"> </w:t>
      </w:r>
    </w:p>
    <w:p w:rsidR="00CF225A" w:rsidRPr="00612D2C" w:rsidRDefault="00CF225A" w:rsidP="00887C88">
      <w:pPr>
        <w:pStyle w:val="BodyText2Char"/>
        <w:numPr>
          <w:ilvl w:val="0"/>
          <w:numId w:val="8"/>
        </w:numPr>
        <w:jc w:val="both"/>
        <w:rPr>
          <w:rStyle w:val="Footer"/>
          <w:bCs/>
          <w:sz w:val="24"/>
          <w:szCs w:val="24"/>
        </w:rPr>
      </w:pPr>
      <w:bookmarkStart w:id="15" w:name="_Toc422899588"/>
      <w:bookmarkStart w:id="16" w:name="_Toc422899908"/>
      <w:r w:rsidRPr="00612D2C">
        <w:rPr>
          <w:rStyle w:val="Footer"/>
          <w:bCs/>
          <w:sz w:val="24"/>
          <w:szCs w:val="24"/>
        </w:rPr>
        <w:t>osigurava efikasnije i djelotvornije korištenje vladinih resursa,</w:t>
      </w:r>
      <w:bookmarkEnd w:id="15"/>
      <w:bookmarkEnd w:id="16"/>
      <w:r w:rsidRPr="00612D2C">
        <w:rPr>
          <w:rStyle w:val="Footer"/>
          <w:bCs/>
          <w:sz w:val="24"/>
          <w:szCs w:val="24"/>
        </w:rPr>
        <w:t xml:space="preserve"> </w:t>
      </w:r>
    </w:p>
    <w:p w:rsidR="00CF225A" w:rsidRPr="00612D2C" w:rsidRDefault="00CF225A" w:rsidP="00887C88">
      <w:pPr>
        <w:pStyle w:val="BodyText2Char"/>
        <w:numPr>
          <w:ilvl w:val="0"/>
          <w:numId w:val="8"/>
        </w:numPr>
        <w:jc w:val="both"/>
        <w:rPr>
          <w:rStyle w:val="Footer"/>
          <w:bCs/>
          <w:sz w:val="24"/>
          <w:szCs w:val="24"/>
        </w:rPr>
      </w:pPr>
      <w:bookmarkStart w:id="17" w:name="_Toc422899589"/>
      <w:bookmarkStart w:id="18" w:name="_Toc422899909"/>
      <w:r w:rsidRPr="00612D2C">
        <w:rPr>
          <w:rStyle w:val="Footer"/>
          <w:bCs/>
          <w:sz w:val="24"/>
          <w:szCs w:val="24"/>
        </w:rPr>
        <w:t>unapređuje transparentnost i odgovornost vladinih politika, programa i procesa donošenja odluka,</w:t>
      </w:r>
      <w:bookmarkEnd w:id="17"/>
      <w:bookmarkEnd w:id="18"/>
      <w:r w:rsidRPr="00612D2C">
        <w:rPr>
          <w:rStyle w:val="Footer"/>
          <w:bCs/>
          <w:sz w:val="24"/>
          <w:szCs w:val="24"/>
        </w:rPr>
        <w:t xml:space="preserve"> </w:t>
      </w:r>
    </w:p>
    <w:p w:rsidR="00CF225A" w:rsidRPr="00612D2C" w:rsidRDefault="00CF225A" w:rsidP="00887C88">
      <w:pPr>
        <w:pStyle w:val="BodyText2Char"/>
        <w:numPr>
          <w:ilvl w:val="0"/>
          <w:numId w:val="8"/>
        </w:numPr>
        <w:jc w:val="both"/>
        <w:rPr>
          <w:rStyle w:val="Footer"/>
          <w:bCs/>
          <w:sz w:val="24"/>
          <w:szCs w:val="24"/>
        </w:rPr>
      </w:pPr>
      <w:bookmarkStart w:id="19" w:name="_Toc422899590"/>
      <w:bookmarkStart w:id="20" w:name="_Toc422899910"/>
      <w:r w:rsidRPr="00612D2C">
        <w:rPr>
          <w:rStyle w:val="Footer"/>
          <w:bCs/>
          <w:sz w:val="24"/>
          <w:szCs w:val="24"/>
        </w:rPr>
        <w:t>osigurava razmatranje finansijskih učinaka u narednim godinama, pri donošenju odluka u vezi sa politikama, te donošenje tih odluka tokom ciklusa planiranja budžeta.</w:t>
      </w:r>
      <w:bookmarkEnd w:id="19"/>
      <w:bookmarkEnd w:id="20"/>
      <w:r w:rsidRPr="00612D2C">
        <w:rPr>
          <w:rStyle w:val="Footer"/>
          <w:bCs/>
          <w:sz w:val="24"/>
          <w:szCs w:val="24"/>
        </w:rPr>
        <w:t xml:space="preserve"> </w:t>
      </w:r>
    </w:p>
    <w:p w:rsidR="00CF225A" w:rsidRPr="00612D2C" w:rsidRDefault="00CF225A" w:rsidP="00612D2C">
      <w:pPr>
        <w:pStyle w:val="TableGrid"/>
        <w:jc w:val="both"/>
        <w:rPr>
          <w:rStyle w:val="Footer"/>
          <w:bCs/>
          <w:sz w:val="24"/>
          <w:szCs w:val="24"/>
        </w:rPr>
      </w:pPr>
      <w:bookmarkStart w:id="21" w:name="_Toc422899591"/>
      <w:bookmarkStart w:id="22" w:name="_Toc422899911"/>
      <w:r w:rsidRPr="00612D2C">
        <w:rPr>
          <w:rStyle w:val="Footer"/>
          <w:bCs/>
          <w:sz w:val="24"/>
          <w:szCs w:val="24"/>
        </w:rPr>
        <w:t>U proteklih nekoliko godina ostvaren je veliki napredak u procesu planiranja budžeta izradom srednjoročnih okvira rashoda tj. DOB-a koji se svake godine pripremaju za period za sljedeće tri godine i koji prikazuju srednjoročne makroekonomske i fiskalne projekcije, srednjoročnu fiskalnu strategiju, prioritete potrošnje, te gornje granice rashoda budžetskih korisnika za narednu bu</w:t>
      </w:r>
      <w:r w:rsidRPr="00612D2C">
        <w:rPr>
          <w:rStyle w:val="Footer"/>
          <w:bCs/>
          <w:sz w:val="24"/>
          <w:szCs w:val="24"/>
        </w:rPr>
        <w:softHyphen/>
        <w:t xml:space="preserve">džetsku godinu, kao i preliminarne procjene za sljedeće dvije godine za koje je izvršena projekcija prihoda. Stoga, ovakav proces pripreme DOB-a doprinosi razvoju strateškog planiranja prioriteta i ciljeva vlade Unsko </w:t>
      </w:r>
      <w:r w:rsidR="00BF0637">
        <w:rPr>
          <w:rStyle w:val="Footer"/>
          <w:bCs/>
          <w:sz w:val="24"/>
          <w:szCs w:val="24"/>
        </w:rPr>
        <w:t>- s</w:t>
      </w:r>
      <w:r w:rsidRPr="00612D2C">
        <w:rPr>
          <w:rStyle w:val="Footer"/>
          <w:bCs/>
          <w:sz w:val="24"/>
          <w:szCs w:val="24"/>
        </w:rPr>
        <w:t>anskog kantona, te predstavlja osnovni dokument za raspodjelu budžetskih sredstava.</w:t>
      </w:r>
      <w:bookmarkEnd w:id="21"/>
      <w:bookmarkEnd w:id="22"/>
    </w:p>
    <w:p w:rsidR="00CF225A" w:rsidRPr="00612D2C" w:rsidRDefault="00CF225A" w:rsidP="00612D2C">
      <w:pPr>
        <w:ind w:firstLine="708"/>
        <w:jc w:val="both"/>
        <w:rPr>
          <w:rStyle w:val="Footer"/>
          <w:bCs/>
          <w:sz w:val="24"/>
          <w:szCs w:val="24"/>
        </w:rPr>
      </w:pPr>
    </w:p>
    <w:p w:rsidR="00CF225A" w:rsidRPr="00612D2C" w:rsidRDefault="00CF225A" w:rsidP="00612D2C">
      <w:pPr>
        <w:ind w:firstLine="708"/>
        <w:jc w:val="both"/>
        <w:rPr>
          <w:rStyle w:val="Footer"/>
          <w:bCs/>
          <w:sz w:val="24"/>
          <w:szCs w:val="24"/>
        </w:rPr>
      </w:pPr>
      <w:bookmarkStart w:id="23" w:name="_Toc422899592"/>
      <w:bookmarkStart w:id="24" w:name="_Toc422899912"/>
      <w:r w:rsidRPr="00612D2C">
        <w:rPr>
          <w:rStyle w:val="Footer"/>
          <w:bCs/>
          <w:sz w:val="24"/>
          <w:szCs w:val="24"/>
        </w:rPr>
        <w:t xml:space="preserve">Pristup u „10 </w:t>
      </w:r>
      <w:r w:rsidR="00BF0637">
        <w:rPr>
          <w:rStyle w:val="Footer"/>
          <w:bCs/>
          <w:sz w:val="24"/>
          <w:szCs w:val="24"/>
        </w:rPr>
        <w:t>k</w:t>
      </w:r>
      <w:r w:rsidRPr="00612D2C">
        <w:rPr>
          <w:rStyle w:val="Footer"/>
          <w:bCs/>
          <w:sz w:val="24"/>
          <w:szCs w:val="24"/>
        </w:rPr>
        <w:t>oraka“ prikazuje proces srednjoročnog planiranja i izrade budžeta s jasnim, logičnim i integriranim rokovima, harmoniziranim na svim nivoima vlasti u BiH. Ovaj pristup odražava visok stepen međusobne ovisnosti različitih koraka unutar budžetskog procesa - svaki korak je ovisan o različitim akterima/institucijama koji trebaju obezbijediti relevantne informacije, da</w:t>
      </w:r>
      <w:r w:rsidRPr="00612D2C">
        <w:rPr>
          <w:rStyle w:val="Footer"/>
          <w:bCs/>
          <w:sz w:val="24"/>
          <w:szCs w:val="24"/>
        </w:rPr>
        <w:softHyphen/>
        <w:t>ti preporuke i/ili donijeti odluke u svim ključnim fazama procesa, u skladu sa budžetskim ciklusom. U skladu sa navedenim, učinkovit i uspješan proces srednjoročnog planiranja budžeta zahtijeva predanost i disciplinu svih relevantnih učesnika u budžetskom procesu (uk</w:t>
      </w:r>
      <w:r w:rsidRPr="00612D2C">
        <w:rPr>
          <w:rStyle w:val="Footer"/>
          <w:bCs/>
          <w:sz w:val="24"/>
          <w:szCs w:val="24"/>
        </w:rPr>
        <w:softHyphen/>
        <w:t>ljučujući Vladu Unsko– sanskog kantona, Skupštin</w:t>
      </w:r>
      <w:r w:rsidR="00D41508" w:rsidRPr="00612D2C">
        <w:rPr>
          <w:rStyle w:val="Footer"/>
          <w:bCs/>
          <w:sz w:val="24"/>
          <w:szCs w:val="24"/>
        </w:rPr>
        <w:t xml:space="preserve">u USK , Ministarstvo finansija, </w:t>
      </w:r>
      <w:r w:rsidRPr="00612D2C">
        <w:rPr>
          <w:rStyle w:val="Footer"/>
          <w:bCs/>
          <w:sz w:val="24"/>
          <w:szCs w:val="24"/>
        </w:rPr>
        <w:t>te informacije koje se dobivaju iz FMF-a i korisnike budžeta Vlade Unsko-sanskog kantona).</w:t>
      </w:r>
      <w:bookmarkEnd w:id="23"/>
      <w:bookmarkEnd w:id="24"/>
      <w:r w:rsidRPr="00612D2C">
        <w:rPr>
          <w:rStyle w:val="Footer"/>
          <w:bCs/>
          <w:sz w:val="24"/>
          <w:szCs w:val="24"/>
        </w:rPr>
        <w:t xml:space="preserve"> </w:t>
      </w:r>
    </w:p>
    <w:p w:rsidR="00CF225A" w:rsidRPr="00612D2C" w:rsidRDefault="00CF225A" w:rsidP="00612D2C">
      <w:pPr>
        <w:jc w:val="both"/>
        <w:rPr>
          <w:rStyle w:val="Footer"/>
          <w:bCs/>
          <w:sz w:val="24"/>
          <w:szCs w:val="24"/>
        </w:rPr>
      </w:pPr>
      <w:bookmarkStart w:id="25" w:name="_Toc422899593"/>
      <w:bookmarkStart w:id="26" w:name="_Toc422899913"/>
      <w:r w:rsidRPr="00612D2C">
        <w:rPr>
          <w:rStyle w:val="Footer"/>
          <w:bCs/>
          <w:sz w:val="24"/>
          <w:szCs w:val="24"/>
        </w:rPr>
        <w:t>Stoga, u skladu sa Zakonom o budžetima u Federaciji Bosne i Hercegovine (“Službene novine FBiH”</w:t>
      </w:r>
      <w:r w:rsidR="002C18C4" w:rsidRPr="00612D2C">
        <w:rPr>
          <w:rStyle w:val="Footer"/>
          <w:bCs/>
          <w:sz w:val="24"/>
          <w:szCs w:val="24"/>
        </w:rPr>
        <w:t>,</w:t>
      </w:r>
      <w:r w:rsidRPr="00612D2C">
        <w:rPr>
          <w:rStyle w:val="Footer"/>
          <w:bCs/>
          <w:sz w:val="24"/>
          <w:szCs w:val="24"/>
        </w:rPr>
        <w:t xml:space="preserve"> broj: 102/13, 9/14,13/14</w:t>
      </w:r>
      <w:r w:rsidR="002908E9" w:rsidRPr="00612D2C">
        <w:rPr>
          <w:rStyle w:val="Footer"/>
          <w:bCs/>
          <w:sz w:val="24"/>
          <w:szCs w:val="24"/>
        </w:rPr>
        <w:t>,</w:t>
      </w:r>
      <w:r w:rsidRPr="00612D2C">
        <w:rPr>
          <w:rStyle w:val="Footer"/>
          <w:bCs/>
          <w:sz w:val="24"/>
          <w:szCs w:val="24"/>
        </w:rPr>
        <w:t xml:space="preserve"> 8/15</w:t>
      </w:r>
      <w:r w:rsidR="002908E9" w:rsidRPr="00612D2C">
        <w:rPr>
          <w:rStyle w:val="Footer"/>
          <w:bCs/>
          <w:sz w:val="24"/>
          <w:szCs w:val="24"/>
        </w:rPr>
        <w:t>, 91/15, 104/16, 5/18, 44/18</w:t>
      </w:r>
      <w:r w:rsidR="00572FE0">
        <w:rPr>
          <w:rStyle w:val="Footer"/>
          <w:bCs/>
          <w:sz w:val="24"/>
          <w:szCs w:val="24"/>
        </w:rPr>
        <w:t xml:space="preserve">, </w:t>
      </w:r>
      <w:r w:rsidR="002908E9" w:rsidRPr="00612D2C">
        <w:rPr>
          <w:rStyle w:val="Footer"/>
          <w:bCs/>
          <w:sz w:val="24"/>
          <w:szCs w:val="24"/>
        </w:rPr>
        <w:t>11/19</w:t>
      </w:r>
      <w:r w:rsidR="00572FE0">
        <w:rPr>
          <w:rStyle w:val="Footer"/>
          <w:bCs/>
          <w:sz w:val="24"/>
          <w:szCs w:val="24"/>
        </w:rPr>
        <w:t xml:space="preserve"> i 99/19</w:t>
      </w:r>
      <w:r w:rsidRPr="00612D2C">
        <w:rPr>
          <w:rStyle w:val="Footer"/>
          <w:bCs/>
          <w:sz w:val="24"/>
          <w:szCs w:val="24"/>
        </w:rPr>
        <w:t xml:space="preserve"> ) pripremljen je Dokument okvirnog budžeta Unsko-anskog kantona (DOB) za period 20</w:t>
      </w:r>
      <w:r w:rsidR="002908E9" w:rsidRPr="00612D2C">
        <w:rPr>
          <w:rStyle w:val="Footer"/>
          <w:bCs/>
          <w:sz w:val="24"/>
          <w:szCs w:val="24"/>
        </w:rPr>
        <w:t>2</w:t>
      </w:r>
      <w:r w:rsidR="00572FE0">
        <w:rPr>
          <w:rStyle w:val="Footer"/>
          <w:bCs/>
          <w:sz w:val="24"/>
          <w:szCs w:val="24"/>
        </w:rPr>
        <w:t>1</w:t>
      </w:r>
      <w:r w:rsidRPr="00612D2C">
        <w:rPr>
          <w:rStyle w:val="Footer"/>
          <w:bCs/>
          <w:sz w:val="24"/>
          <w:szCs w:val="24"/>
        </w:rPr>
        <w:t>.-20</w:t>
      </w:r>
      <w:r w:rsidR="002908E9" w:rsidRPr="00612D2C">
        <w:rPr>
          <w:rStyle w:val="Footer"/>
          <w:bCs/>
          <w:sz w:val="24"/>
          <w:szCs w:val="24"/>
        </w:rPr>
        <w:t>2</w:t>
      </w:r>
      <w:r w:rsidR="00572FE0">
        <w:rPr>
          <w:rStyle w:val="Footer"/>
          <w:bCs/>
          <w:sz w:val="24"/>
          <w:szCs w:val="24"/>
        </w:rPr>
        <w:t>3</w:t>
      </w:r>
      <w:r w:rsidRPr="00612D2C">
        <w:rPr>
          <w:rStyle w:val="Footer"/>
          <w:bCs/>
          <w:sz w:val="24"/>
          <w:szCs w:val="24"/>
        </w:rPr>
        <w:t>. godina.</w:t>
      </w:r>
      <w:bookmarkEnd w:id="25"/>
      <w:bookmarkEnd w:id="26"/>
    </w:p>
    <w:p w:rsidR="00CF225A" w:rsidRPr="00612D2C" w:rsidRDefault="00CF225A" w:rsidP="00612D2C">
      <w:pPr>
        <w:jc w:val="both"/>
        <w:rPr>
          <w:rStyle w:val="Footer"/>
          <w:bCs/>
          <w:sz w:val="24"/>
          <w:szCs w:val="24"/>
        </w:rPr>
      </w:pPr>
    </w:p>
    <w:p w:rsidR="00C128BF" w:rsidRPr="00612D2C" w:rsidRDefault="00CF225A" w:rsidP="00612D2C">
      <w:pPr>
        <w:jc w:val="both"/>
        <w:rPr>
          <w:rStyle w:val="Footer"/>
          <w:bCs/>
          <w:sz w:val="24"/>
          <w:szCs w:val="24"/>
        </w:rPr>
      </w:pPr>
      <w:r w:rsidRPr="00612D2C">
        <w:rPr>
          <w:rStyle w:val="Footer"/>
          <w:bCs/>
          <w:sz w:val="24"/>
          <w:szCs w:val="24"/>
        </w:rPr>
        <w:tab/>
      </w:r>
      <w:bookmarkStart w:id="27" w:name="_Toc422899594"/>
      <w:bookmarkStart w:id="28" w:name="_Toc422899914"/>
      <w:r w:rsidRPr="00612D2C">
        <w:rPr>
          <w:rStyle w:val="Footer"/>
          <w:bCs/>
          <w:sz w:val="24"/>
          <w:szCs w:val="24"/>
        </w:rPr>
        <w:t>Ključni cilj Dokumenta okvirnog budžeta je da postavi makroekonomske, fiskalne i sektorske politike u centar budžetskih procesa, prepoznavajući da je godišnji budžet jedan od osnovnih instrumenata kojima se realizuju ciljevi srednjoročne razvojne strategije, kako Kantona, tako i viših nivoa vlasti. Takođe, ovim dokumentom, na osnovu definisanih ekonomskih pokazatelja za šire ekonomsko okruženje (prvesntveno FBiH) utvrđuje se i fiskalni kapacitet Kantona u narednom trogodišnjem periodu.</w:t>
      </w:r>
      <w:bookmarkEnd w:id="27"/>
      <w:bookmarkEnd w:id="28"/>
    </w:p>
    <w:p w:rsidR="002908E9" w:rsidRPr="00467F16" w:rsidRDefault="002908E9" w:rsidP="002908E9">
      <w:pPr>
        <w:ind w:firstLine="360"/>
        <w:jc w:val="both"/>
        <w:rPr>
          <w:sz w:val="24"/>
          <w:szCs w:val="24"/>
        </w:rPr>
      </w:pPr>
      <w:r w:rsidRPr="00467F16">
        <w:rPr>
          <w:sz w:val="24"/>
          <w:szCs w:val="24"/>
        </w:rPr>
        <w:lastRenderedPageBreak/>
        <w:t xml:space="preserve">Sektor za budžet </w:t>
      </w:r>
      <w:r>
        <w:rPr>
          <w:sz w:val="24"/>
          <w:szCs w:val="24"/>
        </w:rPr>
        <w:t>Ministarstva finansija, pripremio je budžetski kalendar koji sadrži rokove za dostavu podataka od strane budžetski</w:t>
      </w:r>
      <w:r w:rsidR="00BF0637">
        <w:rPr>
          <w:sz w:val="24"/>
          <w:szCs w:val="24"/>
        </w:rPr>
        <w:t>h</w:t>
      </w:r>
      <w:r>
        <w:rPr>
          <w:sz w:val="24"/>
          <w:szCs w:val="24"/>
        </w:rPr>
        <w:t xml:space="preserve"> korisnika u toku 20</w:t>
      </w:r>
      <w:r w:rsidR="00572FE0">
        <w:rPr>
          <w:sz w:val="24"/>
          <w:szCs w:val="24"/>
        </w:rPr>
        <w:t>20</w:t>
      </w:r>
      <w:r>
        <w:rPr>
          <w:sz w:val="24"/>
          <w:szCs w:val="24"/>
        </w:rPr>
        <w:t>. godine. Kao što je bio slučaj i u prethodnim godinama, ministarstvo je svojim aktom broj: 04/2-14-1</w:t>
      </w:r>
      <w:r w:rsidR="00572FE0">
        <w:rPr>
          <w:sz w:val="24"/>
          <w:szCs w:val="24"/>
        </w:rPr>
        <w:t>850</w:t>
      </w:r>
      <w:r>
        <w:rPr>
          <w:sz w:val="24"/>
          <w:szCs w:val="24"/>
        </w:rPr>
        <w:t>-1/20</w:t>
      </w:r>
      <w:r w:rsidR="00572FE0">
        <w:rPr>
          <w:sz w:val="24"/>
          <w:szCs w:val="24"/>
        </w:rPr>
        <w:t>20</w:t>
      </w:r>
      <w:r>
        <w:rPr>
          <w:sz w:val="24"/>
          <w:szCs w:val="24"/>
        </w:rPr>
        <w:t>; dana 1</w:t>
      </w:r>
      <w:r w:rsidR="00572FE0">
        <w:rPr>
          <w:sz w:val="24"/>
          <w:szCs w:val="24"/>
        </w:rPr>
        <w:t>4</w:t>
      </w:r>
      <w:r>
        <w:rPr>
          <w:sz w:val="24"/>
          <w:szCs w:val="24"/>
        </w:rPr>
        <w:t>.02.20</w:t>
      </w:r>
      <w:r w:rsidR="00572FE0">
        <w:rPr>
          <w:sz w:val="24"/>
          <w:szCs w:val="24"/>
        </w:rPr>
        <w:t>20</w:t>
      </w:r>
      <w:r>
        <w:rPr>
          <w:sz w:val="24"/>
          <w:szCs w:val="24"/>
        </w:rPr>
        <w:t>. godine uputilo svim budž</w:t>
      </w:r>
      <w:r w:rsidR="00167B3C">
        <w:rPr>
          <w:sz w:val="24"/>
          <w:szCs w:val="24"/>
        </w:rPr>
        <w:t>e</w:t>
      </w:r>
      <w:r>
        <w:rPr>
          <w:sz w:val="24"/>
          <w:szCs w:val="24"/>
        </w:rPr>
        <w:t>t</w:t>
      </w:r>
      <w:r w:rsidR="00167B3C">
        <w:rPr>
          <w:sz w:val="24"/>
          <w:szCs w:val="24"/>
        </w:rPr>
        <w:t>s</w:t>
      </w:r>
      <w:r>
        <w:rPr>
          <w:sz w:val="24"/>
          <w:szCs w:val="24"/>
        </w:rPr>
        <w:t>kim korisnicima, Budžetske instrukcije br.1 za izradu Dokumenta okvirnog budžeta za period 202</w:t>
      </w:r>
      <w:r w:rsidR="00572FE0">
        <w:rPr>
          <w:sz w:val="24"/>
          <w:szCs w:val="24"/>
        </w:rPr>
        <w:t>1</w:t>
      </w:r>
      <w:r>
        <w:rPr>
          <w:sz w:val="24"/>
          <w:szCs w:val="24"/>
        </w:rPr>
        <w:t>.-202</w:t>
      </w:r>
      <w:r w:rsidR="00572FE0">
        <w:rPr>
          <w:sz w:val="24"/>
          <w:szCs w:val="24"/>
        </w:rPr>
        <w:t>3</w:t>
      </w:r>
      <w:r>
        <w:rPr>
          <w:sz w:val="24"/>
          <w:szCs w:val="24"/>
        </w:rPr>
        <w:t>. ( preliminarni nacrt srednjoročnog budžeta). U sklopu instrtukcije br.1 budžet</w:t>
      </w:r>
      <w:r w:rsidR="00BF0637">
        <w:rPr>
          <w:sz w:val="24"/>
          <w:szCs w:val="24"/>
        </w:rPr>
        <w:t>s</w:t>
      </w:r>
      <w:r w:rsidRPr="00467F16">
        <w:rPr>
          <w:sz w:val="24"/>
          <w:szCs w:val="24"/>
        </w:rPr>
        <w:t>kim korisnicima</w:t>
      </w:r>
      <w:r>
        <w:rPr>
          <w:sz w:val="24"/>
          <w:szCs w:val="24"/>
        </w:rPr>
        <w:t xml:space="preserve"> je dostavljeno</w:t>
      </w:r>
      <w:r w:rsidRPr="00467F16">
        <w:rPr>
          <w:sz w:val="24"/>
          <w:szCs w:val="24"/>
        </w:rPr>
        <w:t xml:space="preserve"> Uputstvo o načinu pripreme tabela pregleda budžetskih prioriteta sa definiranim budžetskim kalendarom (slijed koraka sa ključnim zadacima i datumima dostave podataka i izrade DOB-a i godišnjeg budžeta). Nakon dostave popunjenih Tabela od strane budžetskih korisnika,</w:t>
      </w:r>
      <w:r w:rsidR="003F38B1">
        <w:rPr>
          <w:sz w:val="24"/>
          <w:szCs w:val="24"/>
        </w:rPr>
        <w:t xml:space="preserve"> </w:t>
      </w:r>
      <w:r>
        <w:rPr>
          <w:sz w:val="24"/>
          <w:szCs w:val="24"/>
        </w:rPr>
        <w:t>grada,</w:t>
      </w:r>
      <w:r w:rsidRPr="00467F16">
        <w:rPr>
          <w:sz w:val="24"/>
          <w:szCs w:val="24"/>
        </w:rPr>
        <w:t xml:space="preserve"> općina i vanbudžetskih fondova, Sektor za budžet je izvršio njihovu konsolidaciju te sačinio Nacrt Dokumenta okvirnog budžeta Unsko-sanskog kantona za 20</w:t>
      </w:r>
      <w:r>
        <w:rPr>
          <w:sz w:val="24"/>
          <w:szCs w:val="24"/>
        </w:rPr>
        <w:t>2</w:t>
      </w:r>
      <w:r w:rsidR="00572FE0">
        <w:rPr>
          <w:sz w:val="24"/>
          <w:szCs w:val="24"/>
        </w:rPr>
        <w:t>1</w:t>
      </w:r>
      <w:r w:rsidRPr="00467F16">
        <w:rPr>
          <w:sz w:val="24"/>
          <w:szCs w:val="24"/>
        </w:rPr>
        <w:t>.- 20</w:t>
      </w:r>
      <w:r>
        <w:rPr>
          <w:sz w:val="24"/>
          <w:szCs w:val="24"/>
        </w:rPr>
        <w:t>2</w:t>
      </w:r>
      <w:r w:rsidR="00572FE0">
        <w:rPr>
          <w:sz w:val="24"/>
          <w:szCs w:val="24"/>
        </w:rPr>
        <w:t>3</w:t>
      </w:r>
      <w:r w:rsidRPr="00467F16">
        <w:rPr>
          <w:sz w:val="24"/>
          <w:szCs w:val="24"/>
        </w:rPr>
        <w:t>. godinu i predložio Vladi Unsko-sanskog kantona da isti razmotri i usvoji.</w:t>
      </w:r>
      <w:r w:rsidRPr="00467F16">
        <w:rPr>
          <w:sz w:val="24"/>
          <w:szCs w:val="24"/>
          <w:lang w:val="bs-Latn-BA"/>
        </w:rPr>
        <w:t xml:space="preserve"> Usvojeni dokument</w:t>
      </w:r>
      <w:r w:rsidRPr="00467F16">
        <w:rPr>
          <w:sz w:val="24"/>
          <w:szCs w:val="24"/>
        </w:rPr>
        <w:t xml:space="preserve"> Kantonalno</w:t>
      </w:r>
      <w:r w:rsidRPr="00467F16">
        <w:rPr>
          <w:sz w:val="24"/>
          <w:szCs w:val="24"/>
          <w:lang w:val="bs-Latn-BA"/>
        </w:rPr>
        <w:t xml:space="preserve"> ministarstvo finansija će proslijediti Federalnom ministarstvu</w:t>
      </w:r>
      <w:r w:rsidRPr="00467F16">
        <w:rPr>
          <w:sz w:val="24"/>
          <w:szCs w:val="24"/>
        </w:rPr>
        <w:t xml:space="preserve"> finansija</w:t>
      </w:r>
      <w:r w:rsidRPr="00467F16">
        <w:rPr>
          <w:sz w:val="24"/>
          <w:szCs w:val="24"/>
          <w:lang w:val="bs-Latn-BA"/>
        </w:rPr>
        <w:t xml:space="preserve"> na</w:t>
      </w:r>
      <w:r w:rsidRPr="00467F16">
        <w:rPr>
          <w:sz w:val="24"/>
          <w:szCs w:val="24"/>
        </w:rPr>
        <w:t xml:space="preserve"> daljnju konsolidaciju. </w:t>
      </w:r>
    </w:p>
    <w:p w:rsidR="00BF0637" w:rsidRDefault="00BF0637" w:rsidP="00E67738">
      <w:pPr>
        <w:ind w:firstLine="360"/>
        <w:jc w:val="both"/>
        <w:rPr>
          <w:sz w:val="24"/>
          <w:szCs w:val="24"/>
        </w:rPr>
      </w:pPr>
    </w:p>
    <w:p w:rsidR="00911C97" w:rsidRPr="00E378A4" w:rsidRDefault="00911C97" w:rsidP="00911C97">
      <w:pPr>
        <w:ind w:firstLine="360"/>
        <w:jc w:val="both"/>
        <w:rPr>
          <w:sz w:val="24"/>
          <w:szCs w:val="24"/>
        </w:rPr>
      </w:pPr>
      <w:r w:rsidRPr="00E378A4">
        <w:rPr>
          <w:sz w:val="24"/>
          <w:szCs w:val="24"/>
        </w:rPr>
        <w:t xml:space="preserve">Sam dokument se sastoji iz </w:t>
      </w:r>
      <w:r w:rsidR="00355A6D">
        <w:rPr>
          <w:sz w:val="24"/>
          <w:szCs w:val="24"/>
        </w:rPr>
        <w:t>četiri</w:t>
      </w:r>
      <w:r w:rsidRPr="00E378A4">
        <w:rPr>
          <w:sz w:val="24"/>
          <w:szCs w:val="24"/>
        </w:rPr>
        <w:t xml:space="preserve"> poglavlja i to :</w:t>
      </w:r>
    </w:p>
    <w:p w:rsidR="002F6411" w:rsidRPr="002908E9" w:rsidRDefault="00911C97" w:rsidP="00887C88">
      <w:pPr>
        <w:pStyle w:val="BodyText2Char"/>
        <w:numPr>
          <w:ilvl w:val="0"/>
          <w:numId w:val="3"/>
        </w:numPr>
        <w:jc w:val="both"/>
        <w:rPr>
          <w:sz w:val="24"/>
          <w:szCs w:val="24"/>
          <w:lang w:val="hr-HR"/>
        </w:rPr>
      </w:pPr>
      <w:r w:rsidRPr="002908E9">
        <w:rPr>
          <w:b/>
          <w:sz w:val="24"/>
          <w:szCs w:val="24"/>
        </w:rPr>
        <w:t xml:space="preserve">Poglavlje 1. </w:t>
      </w:r>
      <w:r w:rsidR="001E2372" w:rsidRPr="002908E9">
        <w:rPr>
          <w:b/>
          <w:sz w:val="24"/>
          <w:szCs w:val="24"/>
        </w:rPr>
        <w:t>Srednjoročne makroekonomske pretpostavke i prognoze</w:t>
      </w:r>
      <w:r w:rsidR="002D0BF2" w:rsidRPr="002908E9">
        <w:rPr>
          <w:b/>
          <w:sz w:val="24"/>
          <w:szCs w:val="24"/>
        </w:rPr>
        <w:t xml:space="preserve"> </w:t>
      </w:r>
      <w:r w:rsidRPr="002908E9">
        <w:rPr>
          <w:sz w:val="24"/>
          <w:szCs w:val="24"/>
        </w:rPr>
        <w:t xml:space="preserve">unutar kojeg su date makroekonomske pretpostavke i prognoze, </w:t>
      </w:r>
    </w:p>
    <w:p w:rsidR="002908E9" w:rsidRPr="002908E9" w:rsidRDefault="00355A6D" w:rsidP="00887C88">
      <w:pPr>
        <w:pStyle w:val="BodyText2Char"/>
        <w:numPr>
          <w:ilvl w:val="0"/>
          <w:numId w:val="3"/>
        </w:numPr>
        <w:jc w:val="both"/>
        <w:rPr>
          <w:sz w:val="24"/>
          <w:szCs w:val="24"/>
          <w:lang w:val="hr-HR"/>
        </w:rPr>
      </w:pPr>
      <w:r w:rsidRPr="002908E9">
        <w:rPr>
          <w:b/>
          <w:sz w:val="24"/>
          <w:szCs w:val="24"/>
        </w:rPr>
        <w:t xml:space="preserve">Poglavlje 2. </w:t>
      </w:r>
      <w:r w:rsidR="001E2372" w:rsidRPr="002908E9">
        <w:rPr>
          <w:b/>
          <w:sz w:val="24"/>
          <w:szCs w:val="24"/>
        </w:rPr>
        <w:t>Srednjoročna fiskalna strategija</w:t>
      </w:r>
      <w:r w:rsidR="001E2372" w:rsidRPr="002908E9">
        <w:rPr>
          <w:sz w:val="24"/>
          <w:szCs w:val="24"/>
        </w:rPr>
        <w:t xml:space="preserve"> </w:t>
      </w:r>
      <w:r w:rsidR="00911C97" w:rsidRPr="002908E9">
        <w:rPr>
          <w:sz w:val="24"/>
          <w:szCs w:val="24"/>
        </w:rPr>
        <w:t xml:space="preserve">projekcije prihoda za trogodišnji period koji pripadaju kantonu, kao fiskalni okvir  za ograničenje potrošnje. </w:t>
      </w:r>
    </w:p>
    <w:p w:rsidR="002908E9" w:rsidRPr="002908E9" w:rsidRDefault="00911C97" w:rsidP="00887C88">
      <w:pPr>
        <w:pStyle w:val="BodyText2Char"/>
        <w:numPr>
          <w:ilvl w:val="0"/>
          <w:numId w:val="3"/>
        </w:numPr>
        <w:jc w:val="both"/>
        <w:rPr>
          <w:sz w:val="24"/>
          <w:szCs w:val="24"/>
          <w:lang w:val="hr-BA"/>
        </w:rPr>
      </w:pPr>
      <w:r w:rsidRPr="002908E9">
        <w:rPr>
          <w:b/>
          <w:sz w:val="24"/>
          <w:szCs w:val="24"/>
        </w:rPr>
        <w:t xml:space="preserve">Poglavlje </w:t>
      </w:r>
      <w:r w:rsidR="00355A6D" w:rsidRPr="002908E9">
        <w:rPr>
          <w:b/>
          <w:sz w:val="24"/>
          <w:szCs w:val="24"/>
        </w:rPr>
        <w:t>3</w:t>
      </w:r>
      <w:r w:rsidRPr="002908E9">
        <w:rPr>
          <w:b/>
          <w:sz w:val="24"/>
          <w:szCs w:val="24"/>
        </w:rPr>
        <w:t>. Struktura potrošnje u javnom s</w:t>
      </w:r>
      <w:r w:rsidR="006231AB" w:rsidRPr="002908E9">
        <w:rPr>
          <w:b/>
          <w:sz w:val="24"/>
          <w:szCs w:val="24"/>
        </w:rPr>
        <w:t>e</w:t>
      </w:r>
      <w:r w:rsidRPr="002908E9">
        <w:rPr>
          <w:b/>
          <w:sz w:val="24"/>
          <w:szCs w:val="24"/>
        </w:rPr>
        <w:t xml:space="preserve">ktoru </w:t>
      </w:r>
      <w:r w:rsidRPr="002908E9">
        <w:rPr>
          <w:sz w:val="24"/>
          <w:szCs w:val="24"/>
        </w:rPr>
        <w:t xml:space="preserve">u kojem su sažeta glavna pitanja iz oblasti upravljanja javnim sredstvima sa projekcijama budžetske potrošnje po ekonomskim </w:t>
      </w:r>
      <w:r w:rsidR="00BB2CD9" w:rsidRPr="002908E9">
        <w:rPr>
          <w:sz w:val="24"/>
          <w:szCs w:val="24"/>
        </w:rPr>
        <w:t xml:space="preserve"> i funkcionalnim </w:t>
      </w:r>
      <w:r w:rsidRPr="002908E9">
        <w:rPr>
          <w:sz w:val="24"/>
          <w:szCs w:val="24"/>
        </w:rPr>
        <w:t>kategorijama</w:t>
      </w:r>
      <w:r w:rsidR="002908E9" w:rsidRPr="002908E9">
        <w:rPr>
          <w:sz w:val="24"/>
          <w:szCs w:val="24"/>
        </w:rPr>
        <w:t>,</w:t>
      </w:r>
    </w:p>
    <w:p w:rsidR="001E2372" w:rsidRPr="00174215" w:rsidRDefault="00911C97" w:rsidP="00887C88">
      <w:pPr>
        <w:pStyle w:val="BodyText2Char"/>
        <w:numPr>
          <w:ilvl w:val="0"/>
          <w:numId w:val="3"/>
        </w:numPr>
        <w:jc w:val="both"/>
        <w:rPr>
          <w:i/>
          <w:sz w:val="24"/>
          <w:szCs w:val="24"/>
        </w:rPr>
      </w:pPr>
      <w:r w:rsidRPr="00174215">
        <w:rPr>
          <w:b/>
          <w:sz w:val="24"/>
          <w:szCs w:val="24"/>
        </w:rPr>
        <w:t xml:space="preserve">Poglavlje </w:t>
      </w:r>
      <w:r w:rsidR="00355A6D" w:rsidRPr="00174215">
        <w:rPr>
          <w:b/>
          <w:sz w:val="24"/>
          <w:szCs w:val="24"/>
        </w:rPr>
        <w:t>4</w:t>
      </w:r>
      <w:r w:rsidRPr="00174215">
        <w:rPr>
          <w:b/>
          <w:sz w:val="24"/>
          <w:szCs w:val="24"/>
        </w:rPr>
        <w:t xml:space="preserve">.  Budžetski prioriteti za </w:t>
      </w:r>
      <w:r w:rsidR="00E378A4" w:rsidRPr="00174215">
        <w:rPr>
          <w:b/>
          <w:sz w:val="24"/>
          <w:szCs w:val="24"/>
        </w:rPr>
        <w:t>20</w:t>
      </w:r>
      <w:r w:rsidR="002908E9" w:rsidRPr="00174215">
        <w:rPr>
          <w:b/>
          <w:sz w:val="24"/>
          <w:szCs w:val="24"/>
        </w:rPr>
        <w:t>2</w:t>
      </w:r>
      <w:r w:rsidR="00572FE0">
        <w:rPr>
          <w:b/>
          <w:sz w:val="24"/>
          <w:szCs w:val="24"/>
        </w:rPr>
        <w:t>1</w:t>
      </w:r>
      <w:r w:rsidR="002908E9" w:rsidRPr="00174215">
        <w:rPr>
          <w:b/>
          <w:sz w:val="24"/>
          <w:szCs w:val="24"/>
        </w:rPr>
        <w:t xml:space="preserve"> - 202</w:t>
      </w:r>
      <w:r w:rsidR="00572FE0">
        <w:rPr>
          <w:b/>
          <w:sz w:val="24"/>
          <w:szCs w:val="24"/>
        </w:rPr>
        <w:t>3</w:t>
      </w:r>
      <w:r w:rsidRPr="00174215">
        <w:rPr>
          <w:b/>
          <w:sz w:val="24"/>
          <w:szCs w:val="24"/>
        </w:rPr>
        <w:t xml:space="preserve">. </w:t>
      </w:r>
      <w:r w:rsidR="002908E9" w:rsidRPr="00174215">
        <w:rPr>
          <w:b/>
          <w:sz w:val="24"/>
          <w:szCs w:val="24"/>
        </w:rPr>
        <w:t>godine ,</w:t>
      </w:r>
      <w:r w:rsidRPr="00174215">
        <w:rPr>
          <w:sz w:val="24"/>
          <w:szCs w:val="24"/>
          <w:lang w:val="hr-BA"/>
        </w:rPr>
        <w:t xml:space="preserve"> u kojem se predlažu početne gornje granice rashoda za svakog budžetskog korisnika.  </w:t>
      </w:r>
    </w:p>
    <w:p w:rsidR="003F38B1" w:rsidRDefault="003F38B1" w:rsidP="00F66780">
      <w:pPr>
        <w:ind w:firstLine="720"/>
        <w:jc w:val="both"/>
        <w:rPr>
          <w:sz w:val="24"/>
          <w:szCs w:val="24"/>
        </w:rPr>
      </w:pPr>
    </w:p>
    <w:p w:rsidR="00F66780" w:rsidRDefault="00F66780" w:rsidP="00F66780">
      <w:pPr>
        <w:ind w:firstLine="720"/>
        <w:jc w:val="both"/>
        <w:rPr>
          <w:sz w:val="24"/>
          <w:szCs w:val="24"/>
        </w:rPr>
      </w:pPr>
      <w:r w:rsidRPr="007414BE">
        <w:rPr>
          <w:sz w:val="24"/>
          <w:szCs w:val="24"/>
        </w:rPr>
        <w:t>Pri izradi ovog dokumenta takođe su korišteni podaci iz sljedećih publikacija:</w:t>
      </w:r>
    </w:p>
    <w:p w:rsidR="007E32CC" w:rsidRDefault="007E32CC" w:rsidP="00F66780">
      <w:pPr>
        <w:ind w:firstLine="720"/>
        <w:jc w:val="both"/>
        <w:rPr>
          <w:sz w:val="24"/>
          <w:szCs w:val="24"/>
        </w:rPr>
      </w:pPr>
    </w:p>
    <w:p w:rsidR="007E32CC" w:rsidRDefault="007E32CC" w:rsidP="00887C88">
      <w:pPr>
        <w:numPr>
          <w:ilvl w:val="0"/>
          <w:numId w:val="11"/>
        </w:numPr>
        <w:jc w:val="both"/>
        <w:rPr>
          <w:sz w:val="24"/>
          <w:szCs w:val="24"/>
        </w:rPr>
      </w:pPr>
      <w:r>
        <w:rPr>
          <w:sz w:val="24"/>
          <w:szCs w:val="24"/>
        </w:rPr>
        <w:t>Strateški plan Ministarstva finansija Unsko-sanskog kantona za period 2017.-2020. godine, april 2017. godine;</w:t>
      </w:r>
    </w:p>
    <w:p w:rsidR="007E32CC" w:rsidRDefault="007E32CC" w:rsidP="00887C88">
      <w:pPr>
        <w:numPr>
          <w:ilvl w:val="0"/>
          <w:numId w:val="11"/>
        </w:numPr>
        <w:jc w:val="both"/>
        <w:rPr>
          <w:sz w:val="24"/>
          <w:szCs w:val="24"/>
        </w:rPr>
      </w:pPr>
      <w:r w:rsidRPr="00FE4F5D">
        <w:rPr>
          <w:sz w:val="24"/>
          <w:szCs w:val="24"/>
        </w:rPr>
        <w:t xml:space="preserve">Smjernice ekonomske </w:t>
      </w:r>
      <w:r>
        <w:rPr>
          <w:sz w:val="24"/>
          <w:szCs w:val="24"/>
        </w:rPr>
        <w:t>i</w:t>
      </w:r>
      <w:r w:rsidRPr="00FE4F5D">
        <w:rPr>
          <w:sz w:val="24"/>
          <w:szCs w:val="24"/>
        </w:rPr>
        <w:t xml:space="preserve"> fiskalne politike Unsko-sanskog kantona za </w:t>
      </w:r>
      <w:r>
        <w:rPr>
          <w:sz w:val="24"/>
          <w:szCs w:val="24"/>
        </w:rPr>
        <w:t xml:space="preserve">period </w:t>
      </w:r>
      <w:r w:rsidRPr="00FE4F5D">
        <w:rPr>
          <w:sz w:val="24"/>
          <w:szCs w:val="24"/>
        </w:rPr>
        <w:t>20</w:t>
      </w:r>
      <w:r>
        <w:rPr>
          <w:sz w:val="24"/>
          <w:szCs w:val="24"/>
        </w:rPr>
        <w:t>2</w:t>
      </w:r>
      <w:r w:rsidR="00D530F0">
        <w:rPr>
          <w:sz w:val="24"/>
          <w:szCs w:val="24"/>
        </w:rPr>
        <w:t>1</w:t>
      </w:r>
      <w:r w:rsidRPr="00FE4F5D">
        <w:rPr>
          <w:sz w:val="24"/>
          <w:szCs w:val="24"/>
        </w:rPr>
        <w:t>.-20</w:t>
      </w:r>
      <w:r>
        <w:rPr>
          <w:sz w:val="24"/>
          <w:szCs w:val="24"/>
        </w:rPr>
        <w:t>2</w:t>
      </w:r>
      <w:r w:rsidR="00D530F0">
        <w:rPr>
          <w:sz w:val="24"/>
          <w:szCs w:val="24"/>
        </w:rPr>
        <w:t>3</w:t>
      </w:r>
      <w:r w:rsidRPr="00FE4F5D">
        <w:rPr>
          <w:sz w:val="24"/>
          <w:szCs w:val="24"/>
        </w:rPr>
        <w:t xml:space="preserve">. </w:t>
      </w:r>
      <w:r>
        <w:rPr>
          <w:sz w:val="24"/>
          <w:szCs w:val="24"/>
        </w:rPr>
        <w:t>g</w:t>
      </w:r>
      <w:r w:rsidRPr="00FE4F5D">
        <w:rPr>
          <w:sz w:val="24"/>
          <w:szCs w:val="24"/>
        </w:rPr>
        <w:t xml:space="preserve">odine, </w:t>
      </w:r>
      <w:r>
        <w:rPr>
          <w:sz w:val="24"/>
          <w:szCs w:val="24"/>
        </w:rPr>
        <w:t>maj</w:t>
      </w:r>
      <w:r w:rsidRPr="00FE4F5D">
        <w:rPr>
          <w:sz w:val="24"/>
          <w:szCs w:val="24"/>
        </w:rPr>
        <w:t xml:space="preserve"> 20</w:t>
      </w:r>
      <w:r w:rsidR="00572FE0">
        <w:rPr>
          <w:sz w:val="24"/>
          <w:szCs w:val="24"/>
        </w:rPr>
        <w:t>20</w:t>
      </w:r>
      <w:r w:rsidRPr="00FE4F5D">
        <w:rPr>
          <w:sz w:val="24"/>
          <w:szCs w:val="24"/>
        </w:rPr>
        <w:t xml:space="preserve">. </w:t>
      </w:r>
      <w:r>
        <w:rPr>
          <w:sz w:val="24"/>
          <w:szCs w:val="24"/>
        </w:rPr>
        <w:t>g</w:t>
      </w:r>
      <w:r w:rsidRPr="00FE4F5D">
        <w:rPr>
          <w:sz w:val="24"/>
          <w:szCs w:val="24"/>
        </w:rPr>
        <w:t>odine;</w:t>
      </w:r>
    </w:p>
    <w:p w:rsidR="007E32CC" w:rsidRDefault="007E32CC" w:rsidP="00887C88">
      <w:pPr>
        <w:numPr>
          <w:ilvl w:val="0"/>
          <w:numId w:val="11"/>
        </w:numPr>
        <w:jc w:val="both"/>
        <w:rPr>
          <w:sz w:val="24"/>
          <w:szCs w:val="24"/>
        </w:rPr>
      </w:pPr>
      <w:r w:rsidRPr="00FE4F5D">
        <w:rPr>
          <w:sz w:val="24"/>
          <w:szCs w:val="24"/>
        </w:rPr>
        <w:t xml:space="preserve">Smjernice ekonomske </w:t>
      </w:r>
      <w:r>
        <w:rPr>
          <w:sz w:val="24"/>
          <w:szCs w:val="24"/>
        </w:rPr>
        <w:t>i</w:t>
      </w:r>
      <w:r w:rsidRPr="00FE4F5D">
        <w:rPr>
          <w:sz w:val="24"/>
          <w:szCs w:val="24"/>
        </w:rPr>
        <w:t xml:space="preserve"> fiskalne politike </w:t>
      </w:r>
      <w:r>
        <w:rPr>
          <w:sz w:val="24"/>
          <w:szCs w:val="24"/>
        </w:rPr>
        <w:t>Federacije Bosne i Hercegovine</w:t>
      </w:r>
      <w:r w:rsidRPr="00FE4F5D">
        <w:rPr>
          <w:sz w:val="24"/>
          <w:szCs w:val="24"/>
        </w:rPr>
        <w:t xml:space="preserve"> za </w:t>
      </w:r>
      <w:r>
        <w:rPr>
          <w:sz w:val="24"/>
          <w:szCs w:val="24"/>
        </w:rPr>
        <w:t xml:space="preserve">period </w:t>
      </w:r>
      <w:r w:rsidRPr="00FE4F5D">
        <w:rPr>
          <w:sz w:val="24"/>
          <w:szCs w:val="24"/>
        </w:rPr>
        <w:t>20</w:t>
      </w:r>
      <w:r>
        <w:rPr>
          <w:sz w:val="24"/>
          <w:szCs w:val="24"/>
        </w:rPr>
        <w:t>2</w:t>
      </w:r>
      <w:r w:rsidR="00572FE0">
        <w:rPr>
          <w:sz w:val="24"/>
          <w:szCs w:val="24"/>
        </w:rPr>
        <w:t>1</w:t>
      </w:r>
      <w:r w:rsidRPr="00FE4F5D">
        <w:rPr>
          <w:sz w:val="24"/>
          <w:szCs w:val="24"/>
        </w:rPr>
        <w:t>.-20</w:t>
      </w:r>
      <w:r>
        <w:rPr>
          <w:sz w:val="24"/>
          <w:szCs w:val="24"/>
        </w:rPr>
        <w:t>2</w:t>
      </w:r>
      <w:r w:rsidR="00572FE0">
        <w:rPr>
          <w:sz w:val="24"/>
          <w:szCs w:val="24"/>
        </w:rPr>
        <w:t>3</w:t>
      </w:r>
      <w:r w:rsidR="002C18C4">
        <w:rPr>
          <w:sz w:val="24"/>
          <w:szCs w:val="24"/>
        </w:rPr>
        <w:t xml:space="preserve"> </w:t>
      </w:r>
      <w:r w:rsidRPr="00FE4F5D">
        <w:rPr>
          <w:sz w:val="24"/>
          <w:szCs w:val="24"/>
        </w:rPr>
        <w:t xml:space="preserve">. </w:t>
      </w:r>
      <w:r>
        <w:rPr>
          <w:sz w:val="24"/>
          <w:szCs w:val="24"/>
        </w:rPr>
        <w:t>g</w:t>
      </w:r>
      <w:r w:rsidRPr="00FE4F5D">
        <w:rPr>
          <w:sz w:val="24"/>
          <w:szCs w:val="24"/>
        </w:rPr>
        <w:t xml:space="preserve">odine, </w:t>
      </w:r>
      <w:r>
        <w:rPr>
          <w:sz w:val="24"/>
          <w:szCs w:val="24"/>
        </w:rPr>
        <w:t>maj</w:t>
      </w:r>
      <w:r w:rsidRPr="00FE4F5D">
        <w:rPr>
          <w:sz w:val="24"/>
          <w:szCs w:val="24"/>
        </w:rPr>
        <w:t xml:space="preserve"> 20</w:t>
      </w:r>
      <w:r w:rsidR="00D530F0">
        <w:rPr>
          <w:sz w:val="24"/>
          <w:szCs w:val="24"/>
        </w:rPr>
        <w:t>20</w:t>
      </w:r>
      <w:r w:rsidRPr="00FE4F5D">
        <w:rPr>
          <w:sz w:val="24"/>
          <w:szCs w:val="24"/>
        </w:rPr>
        <w:t xml:space="preserve">. </w:t>
      </w:r>
      <w:r>
        <w:rPr>
          <w:sz w:val="24"/>
          <w:szCs w:val="24"/>
        </w:rPr>
        <w:t>g</w:t>
      </w:r>
      <w:r w:rsidRPr="00FE4F5D">
        <w:rPr>
          <w:sz w:val="24"/>
          <w:szCs w:val="24"/>
        </w:rPr>
        <w:t>odine;</w:t>
      </w:r>
    </w:p>
    <w:p w:rsidR="007E32CC" w:rsidRPr="00467F16" w:rsidRDefault="007E32CC" w:rsidP="00887C88">
      <w:pPr>
        <w:numPr>
          <w:ilvl w:val="0"/>
          <w:numId w:val="9"/>
        </w:numPr>
        <w:jc w:val="both"/>
        <w:rPr>
          <w:sz w:val="24"/>
          <w:szCs w:val="24"/>
        </w:rPr>
      </w:pPr>
      <w:r w:rsidRPr="00D530F0">
        <w:rPr>
          <w:sz w:val="24"/>
          <w:szCs w:val="24"/>
        </w:rPr>
        <w:t>Direkcija</w:t>
      </w:r>
      <w:r w:rsidRPr="00467F16">
        <w:rPr>
          <w:sz w:val="24"/>
          <w:szCs w:val="24"/>
        </w:rPr>
        <w:t xml:space="preserve"> za ekonomsko planiranje BiH, „Informacija o Perspektivama 20</w:t>
      </w:r>
      <w:r w:rsidR="00D530F0">
        <w:rPr>
          <w:sz w:val="24"/>
          <w:szCs w:val="24"/>
        </w:rPr>
        <w:t>21</w:t>
      </w:r>
      <w:r w:rsidRPr="00467F16">
        <w:rPr>
          <w:sz w:val="24"/>
          <w:szCs w:val="24"/>
        </w:rPr>
        <w:t>.- 20</w:t>
      </w:r>
      <w:r>
        <w:rPr>
          <w:sz w:val="24"/>
          <w:szCs w:val="24"/>
        </w:rPr>
        <w:t>2</w:t>
      </w:r>
      <w:r w:rsidR="00D530F0">
        <w:rPr>
          <w:sz w:val="24"/>
          <w:szCs w:val="24"/>
        </w:rPr>
        <w:t>3</w:t>
      </w:r>
      <w:r w:rsidRPr="00467F16">
        <w:rPr>
          <w:sz w:val="24"/>
          <w:szCs w:val="24"/>
        </w:rPr>
        <w:t xml:space="preserve">. godine – revidirani dokument“, Sarajevo, </w:t>
      </w:r>
      <w:r>
        <w:rPr>
          <w:sz w:val="24"/>
          <w:szCs w:val="24"/>
        </w:rPr>
        <w:t>maj</w:t>
      </w:r>
      <w:r w:rsidRPr="00467F16">
        <w:rPr>
          <w:sz w:val="24"/>
          <w:szCs w:val="24"/>
        </w:rPr>
        <w:t xml:space="preserve">  20</w:t>
      </w:r>
      <w:r w:rsidR="00D530F0">
        <w:rPr>
          <w:sz w:val="24"/>
          <w:szCs w:val="24"/>
        </w:rPr>
        <w:t>20</w:t>
      </w:r>
      <w:r w:rsidRPr="00467F16">
        <w:rPr>
          <w:sz w:val="24"/>
          <w:szCs w:val="24"/>
        </w:rPr>
        <w:t>. godine;</w:t>
      </w:r>
    </w:p>
    <w:p w:rsidR="007E32CC" w:rsidRPr="00467F16" w:rsidRDefault="007E32CC" w:rsidP="00887C88">
      <w:pPr>
        <w:numPr>
          <w:ilvl w:val="0"/>
          <w:numId w:val="9"/>
        </w:numPr>
        <w:jc w:val="both"/>
        <w:rPr>
          <w:sz w:val="24"/>
          <w:szCs w:val="24"/>
        </w:rPr>
      </w:pPr>
      <w:r w:rsidRPr="00467F16">
        <w:rPr>
          <w:sz w:val="24"/>
          <w:szCs w:val="24"/>
        </w:rPr>
        <w:t xml:space="preserve">Direkcija za ekonomsko planiranje BiH, „Bosna i Hercegovina </w:t>
      </w:r>
      <w:r w:rsidR="00A40C7C">
        <w:rPr>
          <w:sz w:val="24"/>
          <w:szCs w:val="24"/>
        </w:rPr>
        <w:t>-</w:t>
      </w:r>
      <w:r w:rsidRPr="00467F16">
        <w:rPr>
          <w:sz w:val="24"/>
          <w:szCs w:val="24"/>
        </w:rPr>
        <w:t xml:space="preserve"> Ekonomski trendovi </w:t>
      </w:r>
      <w:r w:rsidR="00A40C7C">
        <w:rPr>
          <w:sz w:val="24"/>
          <w:szCs w:val="24"/>
        </w:rPr>
        <w:t>-</w:t>
      </w:r>
      <w:r w:rsidRPr="00467F16">
        <w:rPr>
          <w:sz w:val="24"/>
          <w:szCs w:val="24"/>
        </w:rPr>
        <w:t xml:space="preserve"> Godišnji izvještaj 201</w:t>
      </w:r>
      <w:r w:rsidR="00D530F0">
        <w:rPr>
          <w:sz w:val="24"/>
          <w:szCs w:val="24"/>
        </w:rPr>
        <w:t>9</w:t>
      </w:r>
      <w:r w:rsidRPr="00467F16">
        <w:rPr>
          <w:sz w:val="24"/>
          <w:szCs w:val="24"/>
        </w:rPr>
        <w:t>.“, Sarajevo, april 20</w:t>
      </w:r>
      <w:r w:rsidR="00D530F0">
        <w:rPr>
          <w:sz w:val="24"/>
          <w:szCs w:val="24"/>
        </w:rPr>
        <w:t>20</w:t>
      </w:r>
      <w:r w:rsidRPr="00467F16">
        <w:rPr>
          <w:sz w:val="24"/>
          <w:szCs w:val="24"/>
        </w:rPr>
        <w:t>. godine</w:t>
      </w:r>
    </w:p>
    <w:p w:rsidR="007E32CC" w:rsidRPr="00467F16" w:rsidRDefault="007E32CC" w:rsidP="00887C88">
      <w:pPr>
        <w:numPr>
          <w:ilvl w:val="0"/>
          <w:numId w:val="9"/>
        </w:numPr>
        <w:jc w:val="both"/>
        <w:rPr>
          <w:sz w:val="24"/>
          <w:szCs w:val="24"/>
        </w:rPr>
      </w:pPr>
      <w:r w:rsidRPr="00467F16">
        <w:rPr>
          <w:sz w:val="24"/>
          <w:szCs w:val="24"/>
        </w:rPr>
        <w:t xml:space="preserve">Odjeljenje za makroekonomsku analizu pri Upravi za indirektno oporezivanje BiH, „OMA Bilten“ broj: </w:t>
      </w:r>
      <w:r w:rsidR="00D530F0">
        <w:rPr>
          <w:sz w:val="24"/>
          <w:szCs w:val="24"/>
        </w:rPr>
        <w:t>178</w:t>
      </w:r>
      <w:r w:rsidRPr="00467F16">
        <w:rPr>
          <w:sz w:val="24"/>
          <w:szCs w:val="24"/>
        </w:rPr>
        <w:t xml:space="preserve"> i 1</w:t>
      </w:r>
      <w:r w:rsidR="00D530F0">
        <w:rPr>
          <w:sz w:val="24"/>
          <w:szCs w:val="24"/>
        </w:rPr>
        <w:t>79</w:t>
      </w:r>
      <w:r w:rsidRPr="00467F16">
        <w:rPr>
          <w:sz w:val="24"/>
          <w:szCs w:val="24"/>
        </w:rPr>
        <w:t>;</w:t>
      </w:r>
    </w:p>
    <w:p w:rsidR="007E32CC" w:rsidRPr="00467F16" w:rsidRDefault="007E32CC" w:rsidP="00887C88">
      <w:pPr>
        <w:numPr>
          <w:ilvl w:val="0"/>
          <w:numId w:val="9"/>
        </w:numPr>
        <w:jc w:val="both"/>
        <w:rPr>
          <w:sz w:val="24"/>
          <w:szCs w:val="24"/>
        </w:rPr>
      </w:pPr>
      <w:r w:rsidRPr="00467F16">
        <w:rPr>
          <w:sz w:val="24"/>
          <w:szCs w:val="24"/>
        </w:rPr>
        <w:t>Federalni zavod za statistiku, „Unsko-sanski kanton u brojkama“, Sarajevo 201</w:t>
      </w:r>
      <w:r w:rsidR="00B12D0E">
        <w:rPr>
          <w:sz w:val="24"/>
          <w:szCs w:val="24"/>
        </w:rPr>
        <w:t>9</w:t>
      </w:r>
      <w:r w:rsidRPr="00467F16">
        <w:rPr>
          <w:sz w:val="24"/>
          <w:szCs w:val="24"/>
        </w:rPr>
        <w:t>. godine;</w:t>
      </w:r>
    </w:p>
    <w:p w:rsidR="007E32CC" w:rsidRPr="00467F16" w:rsidRDefault="007E32CC" w:rsidP="00887C88">
      <w:pPr>
        <w:numPr>
          <w:ilvl w:val="0"/>
          <w:numId w:val="9"/>
        </w:numPr>
        <w:jc w:val="both"/>
        <w:rPr>
          <w:sz w:val="24"/>
          <w:szCs w:val="24"/>
        </w:rPr>
      </w:pPr>
      <w:r w:rsidRPr="00467F16">
        <w:rPr>
          <w:sz w:val="24"/>
          <w:szCs w:val="24"/>
        </w:rPr>
        <w:t>Federalni zavod za statistiku, „Mjesečni statistički pregled Federacije Bosne i Hercegovine“ broj: 1,2,3,4, 5 i 6;</w:t>
      </w:r>
    </w:p>
    <w:p w:rsidR="002C18C4" w:rsidRDefault="007E32CC" w:rsidP="00887C88">
      <w:pPr>
        <w:numPr>
          <w:ilvl w:val="0"/>
          <w:numId w:val="9"/>
        </w:numPr>
        <w:jc w:val="both"/>
        <w:rPr>
          <w:sz w:val="24"/>
          <w:szCs w:val="24"/>
        </w:rPr>
      </w:pPr>
      <w:r w:rsidRPr="00174215">
        <w:rPr>
          <w:sz w:val="24"/>
          <w:szCs w:val="24"/>
        </w:rPr>
        <w:t>Federalni zavod za statistiku, „Mjesečni statistički pregled Federacije Bosne i Hercegovine po kantonima“ broj 1, 2, 3, 4, 5 i 6.</w:t>
      </w:r>
    </w:p>
    <w:p w:rsidR="00B12D0E" w:rsidRDefault="00B12D0E" w:rsidP="00887C88">
      <w:pPr>
        <w:numPr>
          <w:ilvl w:val="0"/>
          <w:numId w:val="9"/>
        </w:numPr>
        <w:jc w:val="both"/>
        <w:rPr>
          <w:sz w:val="24"/>
          <w:szCs w:val="24"/>
        </w:rPr>
      </w:pPr>
      <w:r>
        <w:rPr>
          <w:sz w:val="24"/>
          <w:szCs w:val="24"/>
        </w:rPr>
        <w:t>Bilteni JU “ Služba za zapošljavanje Unsko-sanskog kantona”</w:t>
      </w:r>
      <w:r w:rsidR="0057569A">
        <w:rPr>
          <w:sz w:val="24"/>
          <w:szCs w:val="24"/>
        </w:rPr>
        <w:t>,</w:t>
      </w:r>
      <w:r>
        <w:rPr>
          <w:sz w:val="24"/>
          <w:szCs w:val="24"/>
        </w:rPr>
        <w:t xml:space="preserve"> Bihać 20</w:t>
      </w:r>
      <w:r w:rsidR="00D530F0">
        <w:rPr>
          <w:sz w:val="24"/>
          <w:szCs w:val="24"/>
        </w:rPr>
        <w:t>20</w:t>
      </w:r>
      <w:r>
        <w:rPr>
          <w:sz w:val="24"/>
          <w:szCs w:val="24"/>
        </w:rPr>
        <w:t>.godine</w:t>
      </w:r>
    </w:p>
    <w:p w:rsidR="00B12D0E" w:rsidRPr="00174215" w:rsidRDefault="00B12D0E" w:rsidP="00B12D0E">
      <w:pPr>
        <w:ind w:left="720"/>
        <w:jc w:val="both"/>
        <w:rPr>
          <w:sz w:val="24"/>
          <w:szCs w:val="24"/>
        </w:rPr>
      </w:pPr>
    </w:p>
    <w:p w:rsidR="002C18C4" w:rsidRDefault="002C18C4" w:rsidP="00174215">
      <w:pPr>
        <w:ind w:firstLine="360"/>
        <w:jc w:val="both"/>
        <w:rPr>
          <w:sz w:val="24"/>
          <w:szCs w:val="24"/>
          <w:lang w:val="hr-HR"/>
        </w:rPr>
      </w:pPr>
      <w:r w:rsidRPr="00DF3823">
        <w:rPr>
          <w:sz w:val="24"/>
          <w:szCs w:val="24"/>
        </w:rPr>
        <w:lastRenderedPageBreak/>
        <w:t>Jedan od osnovnih predu</w:t>
      </w:r>
      <w:r>
        <w:rPr>
          <w:sz w:val="24"/>
          <w:szCs w:val="24"/>
        </w:rPr>
        <w:t>slova</w:t>
      </w:r>
      <w:r w:rsidRPr="00DF3823">
        <w:rPr>
          <w:sz w:val="24"/>
          <w:szCs w:val="24"/>
        </w:rPr>
        <w:t xml:space="preserve"> održivog ekonomskog rasta te povećanja zaposlenosti jest</w:t>
      </w:r>
      <w:r>
        <w:rPr>
          <w:sz w:val="24"/>
          <w:szCs w:val="24"/>
        </w:rPr>
        <w:t xml:space="preserve">e </w:t>
      </w:r>
      <w:r w:rsidRPr="00DF3823">
        <w:rPr>
          <w:sz w:val="24"/>
          <w:szCs w:val="24"/>
        </w:rPr>
        <w:t xml:space="preserve">makroekonomska stabilnost. Makroekonomska stabilnost ostvarit će se </w:t>
      </w:r>
      <w:r>
        <w:rPr>
          <w:sz w:val="24"/>
          <w:szCs w:val="24"/>
        </w:rPr>
        <w:t>efikasnim</w:t>
      </w:r>
      <w:r w:rsidRPr="00DF3823">
        <w:rPr>
          <w:sz w:val="24"/>
          <w:szCs w:val="24"/>
        </w:rPr>
        <w:t xml:space="preserve"> upravljanjem javnim financijama kroz daljnje unaprjeđenje procesa upravljanja budžetom, fiskalnu konsolidaciju i </w:t>
      </w:r>
      <w:r>
        <w:rPr>
          <w:sz w:val="24"/>
          <w:szCs w:val="24"/>
        </w:rPr>
        <w:t xml:space="preserve">efikasno </w:t>
      </w:r>
      <w:r w:rsidRPr="00DF3823">
        <w:rPr>
          <w:sz w:val="24"/>
          <w:szCs w:val="24"/>
        </w:rPr>
        <w:t>upravljanje javnim dugom, jačanje sistema unutrašnjih finan</w:t>
      </w:r>
      <w:r>
        <w:rPr>
          <w:sz w:val="24"/>
          <w:szCs w:val="24"/>
        </w:rPr>
        <w:t>s</w:t>
      </w:r>
      <w:r w:rsidRPr="00DF3823">
        <w:rPr>
          <w:sz w:val="24"/>
          <w:szCs w:val="24"/>
        </w:rPr>
        <w:t>ijskih kontrola i unutašnje revizije te razvojem makroekonomske statistike.</w:t>
      </w:r>
      <w:r>
        <w:rPr>
          <w:sz w:val="24"/>
          <w:szCs w:val="24"/>
        </w:rPr>
        <w:t xml:space="preserve"> </w:t>
      </w:r>
      <w:r w:rsidRPr="00DF3823">
        <w:rPr>
          <w:sz w:val="24"/>
          <w:szCs w:val="24"/>
          <w:lang w:val="hr-HR"/>
        </w:rPr>
        <w:t>Ovakva nastojanja Ministarstva finansija moraju imati potporu svih budžetskih korisnika i drugih koji koriste sredstva budžeta USK</w:t>
      </w:r>
      <w:r>
        <w:rPr>
          <w:sz w:val="24"/>
          <w:szCs w:val="24"/>
          <w:lang w:val="hr-HR"/>
        </w:rPr>
        <w:t>, a</w:t>
      </w:r>
      <w:r w:rsidRPr="00DF3823">
        <w:rPr>
          <w:sz w:val="24"/>
          <w:szCs w:val="24"/>
          <w:lang w:val="hr-HR"/>
        </w:rPr>
        <w:t xml:space="preserve"> iskazana kroz Smjer</w:t>
      </w:r>
      <w:r w:rsidR="00BF0637">
        <w:rPr>
          <w:sz w:val="24"/>
          <w:szCs w:val="24"/>
          <w:lang w:val="hr-HR"/>
        </w:rPr>
        <w:t>n</w:t>
      </w:r>
      <w:r w:rsidRPr="00DF3823">
        <w:rPr>
          <w:sz w:val="24"/>
          <w:szCs w:val="24"/>
          <w:lang w:val="hr-HR"/>
        </w:rPr>
        <w:t>ice i ciljeve fiskalne politike za 20</w:t>
      </w:r>
      <w:r>
        <w:rPr>
          <w:sz w:val="24"/>
          <w:szCs w:val="24"/>
          <w:lang w:val="hr-HR"/>
        </w:rPr>
        <w:t>2</w:t>
      </w:r>
      <w:r w:rsidR="00572FE0">
        <w:rPr>
          <w:sz w:val="24"/>
          <w:szCs w:val="24"/>
          <w:lang w:val="hr-HR"/>
        </w:rPr>
        <w:t>1</w:t>
      </w:r>
      <w:r w:rsidRPr="00DF3823">
        <w:rPr>
          <w:sz w:val="24"/>
          <w:szCs w:val="24"/>
          <w:lang w:val="hr-HR"/>
        </w:rPr>
        <w:t>.-20</w:t>
      </w:r>
      <w:r>
        <w:rPr>
          <w:sz w:val="24"/>
          <w:szCs w:val="24"/>
          <w:lang w:val="hr-HR"/>
        </w:rPr>
        <w:t>2</w:t>
      </w:r>
      <w:r w:rsidR="00572FE0">
        <w:rPr>
          <w:sz w:val="24"/>
          <w:szCs w:val="24"/>
          <w:lang w:val="hr-HR"/>
        </w:rPr>
        <w:t>3</w:t>
      </w:r>
      <w:r>
        <w:rPr>
          <w:sz w:val="24"/>
          <w:szCs w:val="24"/>
          <w:lang w:val="hr-HR"/>
        </w:rPr>
        <w:t>.</w:t>
      </w:r>
      <w:r w:rsidRPr="00DF3823">
        <w:rPr>
          <w:sz w:val="24"/>
          <w:szCs w:val="24"/>
          <w:lang w:val="hr-HR"/>
        </w:rPr>
        <w:t xml:space="preserve"> godinu i Dokument okv</w:t>
      </w:r>
      <w:r>
        <w:rPr>
          <w:sz w:val="24"/>
          <w:szCs w:val="24"/>
          <w:lang w:val="hr-HR"/>
        </w:rPr>
        <w:t>irnog Budžeta USK za period 202</w:t>
      </w:r>
      <w:r w:rsidR="00572FE0">
        <w:rPr>
          <w:sz w:val="24"/>
          <w:szCs w:val="24"/>
          <w:lang w:val="hr-HR"/>
        </w:rPr>
        <w:t>1</w:t>
      </w:r>
      <w:r>
        <w:rPr>
          <w:sz w:val="24"/>
          <w:szCs w:val="24"/>
          <w:lang w:val="hr-HR"/>
        </w:rPr>
        <w:t xml:space="preserve">. - </w:t>
      </w:r>
      <w:r w:rsidRPr="00DF3823">
        <w:rPr>
          <w:sz w:val="24"/>
          <w:szCs w:val="24"/>
          <w:lang w:val="hr-HR"/>
        </w:rPr>
        <w:t>20</w:t>
      </w:r>
      <w:r>
        <w:rPr>
          <w:sz w:val="24"/>
          <w:szCs w:val="24"/>
          <w:lang w:val="hr-HR"/>
        </w:rPr>
        <w:t>2</w:t>
      </w:r>
      <w:r w:rsidR="00572FE0">
        <w:rPr>
          <w:sz w:val="24"/>
          <w:szCs w:val="24"/>
          <w:lang w:val="hr-HR"/>
        </w:rPr>
        <w:t>3</w:t>
      </w:r>
      <w:r>
        <w:rPr>
          <w:sz w:val="24"/>
          <w:szCs w:val="24"/>
          <w:lang w:val="hr-HR"/>
        </w:rPr>
        <w:t>.</w:t>
      </w:r>
      <w:r w:rsidRPr="00DF3823">
        <w:rPr>
          <w:sz w:val="24"/>
          <w:szCs w:val="24"/>
          <w:lang w:val="hr-HR"/>
        </w:rPr>
        <w:t xml:space="preserve"> godina.</w:t>
      </w:r>
    </w:p>
    <w:p w:rsidR="00E6492A" w:rsidRDefault="00E6492A" w:rsidP="00174215">
      <w:pPr>
        <w:ind w:firstLine="360"/>
        <w:jc w:val="both"/>
        <w:rPr>
          <w:sz w:val="24"/>
          <w:szCs w:val="24"/>
          <w:lang w:val="hr-HR"/>
        </w:rPr>
      </w:pPr>
    </w:p>
    <w:p w:rsidR="00E6492A" w:rsidRPr="007E32CC" w:rsidRDefault="00E6492A" w:rsidP="00174215">
      <w:pPr>
        <w:ind w:firstLine="360"/>
        <w:jc w:val="both"/>
        <w:rPr>
          <w:sz w:val="24"/>
          <w:szCs w:val="24"/>
        </w:rPr>
      </w:pPr>
    </w:p>
    <w:p w:rsidR="00197A96" w:rsidRPr="00173114" w:rsidRDefault="001E2372" w:rsidP="00887C88">
      <w:pPr>
        <w:pStyle w:val="Heading1"/>
        <w:numPr>
          <w:ilvl w:val="0"/>
          <w:numId w:val="4"/>
        </w:numPr>
        <w:rPr>
          <w:rFonts w:ascii="Cambria" w:hAnsi="Cambria" w:cs="Times New Roman"/>
          <w:sz w:val="24"/>
          <w:szCs w:val="24"/>
          <w:lang w:val="bs-Latn-BA"/>
        </w:rPr>
      </w:pPr>
      <w:bookmarkStart w:id="29" w:name="_Toc265752049"/>
      <w:bookmarkStart w:id="30" w:name="_Toc265752139"/>
      <w:bookmarkStart w:id="31" w:name="_Toc266777667"/>
      <w:bookmarkStart w:id="32" w:name="_Toc266779167"/>
      <w:bookmarkStart w:id="33" w:name="_Toc422899595"/>
      <w:bookmarkStart w:id="34" w:name="_Toc422899915"/>
      <w:r w:rsidRPr="00173114">
        <w:rPr>
          <w:rFonts w:ascii="Cambria" w:hAnsi="Cambria" w:cs="Times New Roman"/>
          <w:sz w:val="24"/>
          <w:szCs w:val="24"/>
        </w:rPr>
        <w:t>SREDNJOROČN</w:t>
      </w:r>
      <w:bookmarkEnd w:id="29"/>
      <w:bookmarkEnd w:id="30"/>
      <w:r w:rsidRPr="00173114">
        <w:rPr>
          <w:rFonts w:ascii="Cambria" w:hAnsi="Cambria" w:cs="Times New Roman"/>
          <w:sz w:val="24"/>
          <w:szCs w:val="24"/>
        </w:rPr>
        <w:t>E MAKROEKONOMSKE</w:t>
      </w:r>
      <w:bookmarkStart w:id="35" w:name="_Toc265752052"/>
      <w:bookmarkStart w:id="36" w:name="_Toc265752142"/>
      <w:bookmarkStart w:id="37" w:name="_Toc266777669"/>
      <w:bookmarkStart w:id="38" w:name="_Toc266779169"/>
      <w:bookmarkEnd w:id="31"/>
      <w:bookmarkEnd w:id="32"/>
      <w:r w:rsidRPr="00173114">
        <w:rPr>
          <w:rFonts w:ascii="Cambria" w:hAnsi="Cambria" w:cs="Times New Roman"/>
          <w:sz w:val="24"/>
          <w:szCs w:val="24"/>
        </w:rPr>
        <w:t xml:space="preserve"> PRETPOSTAVKE I PROGNOZE</w:t>
      </w:r>
      <w:bookmarkEnd w:id="33"/>
      <w:bookmarkEnd w:id="34"/>
    </w:p>
    <w:p w:rsidR="00197A96" w:rsidRDefault="00197A96" w:rsidP="00887C88">
      <w:pPr>
        <w:pStyle w:val="Heading2"/>
        <w:numPr>
          <w:ilvl w:val="1"/>
          <w:numId w:val="4"/>
        </w:numPr>
        <w:rPr>
          <w:rFonts w:ascii="Times New Roman" w:hAnsi="Times New Roman"/>
          <w:color w:val="auto"/>
          <w:sz w:val="24"/>
          <w:szCs w:val="24"/>
        </w:rPr>
      </w:pPr>
      <w:bookmarkStart w:id="39" w:name="_Toc422899916"/>
      <w:r w:rsidRPr="00173114">
        <w:rPr>
          <w:rFonts w:ascii="Times New Roman" w:hAnsi="Times New Roman"/>
          <w:color w:val="auto"/>
          <w:sz w:val="24"/>
          <w:szCs w:val="24"/>
        </w:rPr>
        <w:t>Ekonomski rast</w:t>
      </w:r>
      <w:bookmarkEnd w:id="39"/>
      <w:r w:rsidRPr="00173114">
        <w:rPr>
          <w:rFonts w:ascii="Times New Roman" w:hAnsi="Times New Roman"/>
          <w:color w:val="auto"/>
          <w:sz w:val="24"/>
          <w:szCs w:val="24"/>
        </w:rPr>
        <w:t xml:space="preserve"> </w:t>
      </w:r>
      <w:bookmarkEnd w:id="35"/>
      <w:bookmarkEnd w:id="36"/>
      <w:bookmarkEnd w:id="37"/>
      <w:bookmarkEnd w:id="38"/>
    </w:p>
    <w:p w:rsidR="00E6492A" w:rsidRPr="00E6492A" w:rsidRDefault="00E6492A" w:rsidP="00E6492A">
      <w:pPr>
        <w:rPr>
          <w:lang w:val="en-US"/>
        </w:rPr>
      </w:pPr>
    </w:p>
    <w:p w:rsidR="002C4683" w:rsidRDefault="002C4683" w:rsidP="002C4683">
      <w:pPr>
        <w:jc w:val="both"/>
        <w:rPr>
          <w:sz w:val="24"/>
          <w:szCs w:val="24"/>
          <w:lang w:val="en-US"/>
        </w:rPr>
      </w:pPr>
      <w:r w:rsidRPr="00F213AC">
        <w:rPr>
          <w:sz w:val="24"/>
          <w:szCs w:val="24"/>
          <w:lang w:val="en-US"/>
        </w:rPr>
        <w:t>U osnovnom scenariju</w:t>
      </w:r>
      <w:r w:rsidRPr="00C15F4C">
        <w:rPr>
          <w:sz w:val="24"/>
          <w:szCs w:val="24"/>
          <w:lang w:val="en-US"/>
        </w:rPr>
        <w:t xml:space="preserve"> projekcije su izrađene u trenutku kada svi statistički podaci nisu bili dostupni za mart 2020. godine u kojem je došlo do obostranih šokova na strani ponude i potražnje. Projekcije se zasnivaju na pretpostavkama da će kriza trajati do kraja drugog kvartala 2020. godine. Osim toga, projekcije takođe nisu obuhvatile stabilizacijske mjere entitetskih vlada i Vijeća ministara Bosne i Hercegovine u cijelosti jer u trenutku izrade nije bio poznat konačni opseg mjera.</w:t>
      </w:r>
    </w:p>
    <w:p w:rsidR="00E6492A" w:rsidRDefault="00E6492A" w:rsidP="002C4683">
      <w:pPr>
        <w:jc w:val="both"/>
        <w:rPr>
          <w:sz w:val="24"/>
          <w:szCs w:val="24"/>
          <w:lang w:val="en-US"/>
        </w:rPr>
      </w:pPr>
    </w:p>
    <w:p w:rsidR="002C4683" w:rsidRDefault="002C4683" w:rsidP="002C4683">
      <w:pPr>
        <w:jc w:val="both"/>
        <w:rPr>
          <w:sz w:val="24"/>
          <w:szCs w:val="24"/>
          <w:lang w:val="en-US"/>
        </w:rPr>
      </w:pPr>
      <w:r w:rsidRPr="001E0635">
        <w:rPr>
          <w:b/>
          <w:bCs/>
          <w:sz w:val="24"/>
          <w:szCs w:val="24"/>
          <w:lang w:val="en-US"/>
        </w:rPr>
        <w:t>Početak 2020.</w:t>
      </w:r>
      <w:r w:rsidRPr="00C15F4C">
        <w:rPr>
          <w:sz w:val="24"/>
          <w:szCs w:val="24"/>
          <w:lang w:val="en-US"/>
        </w:rPr>
        <w:t xml:space="preserve"> godine karakteriše dodatno usložnjavanje međunarodnih ekonomskih prilika i pojava virusa </w:t>
      </w:r>
      <w:r w:rsidRPr="001E0635">
        <w:rPr>
          <w:b/>
          <w:bCs/>
          <w:sz w:val="24"/>
          <w:szCs w:val="24"/>
          <w:lang w:val="en-US"/>
        </w:rPr>
        <w:t>Covid-2019</w:t>
      </w:r>
      <w:r w:rsidRPr="00C15F4C">
        <w:rPr>
          <w:sz w:val="24"/>
          <w:szCs w:val="24"/>
          <w:lang w:val="en-US"/>
        </w:rPr>
        <w:t xml:space="preserve"> što će imati veoma negativne implikacije na privredna kretanja u svijetu, regionu i u konačnici u samoj Bosni i Hercegovini. Intenzitet i dužina trajanja novonastalih okolnosti u suštini će odrediti kretanje ekonomskog rasta kako kratkoročno tako i u srednjem roku. Prije same analize ekonomskih kretanja u Bosni i Hercegovini, vrijedi istaći da u vrijeme pripreme ovog izvještaja sve međunarodno referentne institucije (MMF, Svjetska Banka, EC) na sedmičnoj bazi vrše revizije projekcije ekonomskih kretanja za 2020. godinu što predstavlja dodatni hendikep u pripremi ovog izvještaja. Najaktuelniji refernetni dokument Svjetske Banke „Fighting COVID19, Europe and Central Asia Economic Update (Spring)“ predviđa drastičan pad BDP-a na širem evropskoj i evro-azijskom području u intervalu od</w:t>
      </w:r>
      <w:r>
        <w:rPr>
          <w:sz w:val="24"/>
          <w:szCs w:val="24"/>
          <w:lang w:val="en-US"/>
        </w:rPr>
        <w:t xml:space="preserve">           </w:t>
      </w:r>
      <w:r w:rsidRPr="00C15F4C">
        <w:rPr>
          <w:sz w:val="24"/>
          <w:szCs w:val="24"/>
          <w:lang w:val="en-US"/>
        </w:rPr>
        <w:t xml:space="preserve"> -2,8% i -4,4% u 2020. godini u zavisnosti o dužini trajanja i intenzitetu širenja pandemije Covid-19. </w:t>
      </w:r>
    </w:p>
    <w:p w:rsidR="002C4683" w:rsidRDefault="002C4683" w:rsidP="002C4683">
      <w:pPr>
        <w:jc w:val="both"/>
        <w:rPr>
          <w:sz w:val="24"/>
          <w:szCs w:val="24"/>
          <w:lang w:val="en-US"/>
        </w:rPr>
      </w:pPr>
      <w:r w:rsidRPr="00C15F4C">
        <w:rPr>
          <w:sz w:val="24"/>
          <w:szCs w:val="24"/>
          <w:lang w:val="en-US"/>
        </w:rPr>
        <w:t>Što se tiče regiona Zapadnog balkana, pa i same Bosne i Hercegovine procjenjuje se pad ekonomskog rasta od -1,9% do -3,2% u slučaju prelijevanja krize u drugu polovinu 2020. godine.Unatoč neizvjesnosti o dužini trajanja i kvantifikaciji posljedica pandemije Covid-19 na svjetsku privredu nema nikakve sumnje da će ekonomske posljedice biti izrazito negativne. Tako je već sada sasvim izvjesno da će širenje ovog virusa prevashodno dovesti do usporavanja svjetske trgovine, a posljedično i ostalih komponenti ekonomskog rasta kao što su investicije i privatna potrošnja. Ovakva kretanja u međunarodnom</w:t>
      </w:r>
      <w:r>
        <w:rPr>
          <w:sz w:val="24"/>
          <w:szCs w:val="24"/>
          <w:lang w:val="en-US"/>
        </w:rPr>
        <w:t xml:space="preserve"> </w:t>
      </w:r>
      <w:r w:rsidRPr="00C15F4C">
        <w:rPr>
          <w:sz w:val="24"/>
          <w:szCs w:val="24"/>
          <w:lang w:val="en-US"/>
        </w:rPr>
        <w:t xml:space="preserve">ekonomskom okruženju vrlo vjerovatno će dovesti do dodatnog slabljenja kako izvozne, tako i domaće tražnje u prvoj polovini 2020. godine. Imajući u vidu sve navedene okolnosti i određene kratkoročne pokazatelje o ekonomskim kretanjima, DEP-a je drastično revidirao svoju projekciju rasta ukupnog izvoza u 2020. godini na –6,4% u odnosu na prethodnu godinu, koja je uslovljena stabilizacijom ekonomskih prilika u glavnim trgovinskim partnerima u drugoj polovini tekuće godine. Trenutno raspoloživi podaci o vanjskotrgovinskoj robnoj razmjeni za prvi kvartal 2020. godine već ukazuju na drastično </w:t>
      </w:r>
      <w:r w:rsidRPr="00C15F4C">
        <w:rPr>
          <w:sz w:val="24"/>
          <w:szCs w:val="24"/>
          <w:lang w:val="en-US"/>
        </w:rPr>
        <w:lastRenderedPageBreak/>
        <w:t>slabljenje iste u odnosu na prethodnu godinu. Naime, prema podacima BHAS-a u prvom kvartalu 2020. godine izvoz roba iz Bosne i Hercegovine smanjen je za 5,2% u odnosu na isti period prethodne godine, dok je pad robnog izvoza samo u martu mjesecu 2020. godine u odnosu na isti mjesec prethodne godine iznosio oko 15%. S druge strane, u prvom kvartalu 2020. godine uvoz roba u Bosnu i Hercegovinu smanjen je za 7,2% u odnosu na isti period prethodne godine, dok je pad uvoza u martu mjesecu u odnosu na isti mjesec prethodne godine iznosio 16,5%.</w:t>
      </w:r>
    </w:p>
    <w:p w:rsidR="002C4683" w:rsidRDefault="002C4683" w:rsidP="002C4683">
      <w:pPr>
        <w:jc w:val="both"/>
        <w:rPr>
          <w:sz w:val="24"/>
          <w:szCs w:val="24"/>
          <w:lang w:val="en-US"/>
        </w:rPr>
      </w:pPr>
      <w:r w:rsidRPr="00C15F4C">
        <w:rPr>
          <w:sz w:val="24"/>
          <w:szCs w:val="24"/>
          <w:lang w:val="en-US"/>
        </w:rPr>
        <w:t xml:space="preserve">U skladu sa novonastalim okolnostima, u prvoj polovini godine realno je očekivati i slabljenje ostalih agregata ekonomskog rasta kako što su privatna potrošnja i investicije (domaća tražnja) tako da je i projekcija kretanja uvoza u 2020. godinu iznosi -6,1% u odnosu na prethodnu godinu. Ako se ima u vidu da Bosnu i Hercegovinu u vanjskotrgovinskom smislu karakteriše neuravnoteženost izvoza (42% BDP-a) i uvoza (56% BDP-a) ovo usporavanje razmjene bi rezultiralo trgovinskim bilansom čiji utjecaj na ekonomski rast bi bio djelimično pozitivan. Ovo ne predstavlja nikakvo iznenađenje obzirom da je Bosna i Hercegovina zemlja sa visokom ovisnošću, a sličan scenarij je zabilježen i tokom svjetske ekonomske krize u 2009. godini.   </w:t>
      </w:r>
    </w:p>
    <w:p w:rsidR="00E6492A" w:rsidRPr="00C15F4C" w:rsidRDefault="00E6492A" w:rsidP="002C4683">
      <w:pPr>
        <w:jc w:val="both"/>
        <w:rPr>
          <w:sz w:val="24"/>
          <w:szCs w:val="24"/>
          <w:lang w:val="en-US"/>
        </w:rPr>
      </w:pPr>
    </w:p>
    <w:p w:rsidR="00E6492A" w:rsidRDefault="002C4683" w:rsidP="002C4683">
      <w:pPr>
        <w:jc w:val="both"/>
        <w:rPr>
          <w:sz w:val="24"/>
          <w:szCs w:val="24"/>
          <w:lang w:val="en-US"/>
        </w:rPr>
      </w:pPr>
      <w:r w:rsidRPr="00C15F4C">
        <w:rPr>
          <w:sz w:val="24"/>
          <w:szCs w:val="24"/>
          <w:lang w:val="en-US"/>
        </w:rPr>
        <w:t>S druge strane, ako se ima u vidu strukturna kompozicija i kretanje ekonomskog rasta u Bosni i Hercegovini vrijedi istaći da je tokom prethodnih godina domaće tražnja ili preciznije privatna potrošnje predstavljala ključni oslonac ekonomskog rasta. Međutim, u skladu sa usporavanjem ukupne privredne aktivnosti u zemlji usljed izbijanja pandemije virusa Covid-19 tokom 2020. godine očekuje se i pad privatne potrošnje od -1.7% u odnosu na prethodnu godinu. Glavnu determinantu ovog smanjenja privatne potrošnje predstavljaju već izvjestan pad broja zaposlenih, smanjenja plata i doznaka građana što će znatno oslabiti raspoloživi dohodak građana.</w:t>
      </w:r>
    </w:p>
    <w:p w:rsidR="002C4683" w:rsidRPr="00866BA6" w:rsidRDefault="002C4683" w:rsidP="002C4683">
      <w:pPr>
        <w:jc w:val="both"/>
        <w:rPr>
          <w:sz w:val="24"/>
          <w:szCs w:val="24"/>
          <w:lang w:val="en-US"/>
        </w:rPr>
      </w:pPr>
      <w:r w:rsidRPr="00C15F4C">
        <w:rPr>
          <w:sz w:val="24"/>
          <w:szCs w:val="24"/>
          <w:lang w:val="en-US"/>
        </w:rPr>
        <w:t>S druge strane, tokom trajanja pandemije očekuje se pojačani angažman institucija u okviru borbe za zaštitu javnog zdravlja kao i saniranje ekonomskih posljedica Covida-19. U skladu s tim u tokom 2020. godine očekuje se nešto jači rast javne potrošnje od oko 2%, tako da bi ova kategorija imala pozitivan doprinos ekonomskom rastu. Zastupljenost investicija u strukturi BDP-a iznosi oko 20%, pri čemu se privatne investicije iznose 4/5 a ostatak se odnosi na javne investicije u Bosni i Hercegovini. Neizvjesnost i turbulencije kako na međunarodnom tako i na domaćem tržištu prilično negativno bi se mogla odraziti na kretanja investicionih ulaganja u 2020. godini. Ovo se prevashodno odnosi na privatne investicije u okviru kojih se očekuje drastičan pad od preko 10%. S druge strane, kretanje javnih investicija u velikoj mjeri će zavisti od raspoloživosti finansijskih sredstava i opredjeljenosti nadležih institucija hoće li koristiti ovu polugu za očuvanje ekonomskog rasta u zemlji tokom 2020. godine. Imajući u vidu navedene međunarodne okolnosti i trenutno stanje u ekonomiji Bosne i Hercegovine, pod pretpostavkom da širenje pandemije Covida-19 bude ograničeno za prvu polovinu godine, na kraju 2020. godine u Bosni i Hercegovini se može očekivati realni pad BDP-a od 2,3% u odnosu na prethodnu godinu</w:t>
      </w:r>
      <w:r>
        <w:rPr>
          <w:sz w:val="24"/>
          <w:szCs w:val="24"/>
          <w:lang w:val="en-US"/>
        </w:rPr>
        <w:t>.</w:t>
      </w:r>
    </w:p>
    <w:p w:rsidR="002C4683" w:rsidRDefault="002C4683" w:rsidP="002C4683">
      <w:pPr>
        <w:rPr>
          <w:lang w:val="en-US"/>
        </w:rPr>
      </w:pPr>
    </w:p>
    <w:p w:rsidR="00D64E6A" w:rsidRDefault="00D64E6A" w:rsidP="002C4683">
      <w:pPr>
        <w:rPr>
          <w:lang w:val="en-US"/>
        </w:rPr>
      </w:pPr>
    </w:p>
    <w:p w:rsidR="00D64E6A" w:rsidRDefault="00D64E6A" w:rsidP="002C4683">
      <w:pPr>
        <w:rPr>
          <w:lang w:val="en-US"/>
        </w:rPr>
      </w:pPr>
    </w:p>
    <w:p w:rsidR="00D64E6A" w:rsidRDefault="00D64E6A" w:rsidP="002C4683">
      <w:pPr>
        <w:rPr>
          <w:lang w:val="en-US"/>
        </w:rPr>
      </w:pPr>
    </w:p>
    <w:p w:rsidR="00D64E6A" w:rsidRDefault="00D64E6A" w:rsidP="002C4683">
      <w:pPr>
        <w:rPr>
          <w:lang w:val="en-US"/>
        </w:rPr>
      </w:pPr>
    </w:p>
    <w:p w:rsidR="00D64E6A" w:rsidRDefault="00D64E6A" w:rsidP="002C4683">
      <w:pPr>
        <w:rPr>
          <w:lang w:val="en-US"/>
        </w:rPr>
      </w:pPr>
    </w:p>
    <w:p w:rsidR="00D64E6A" w:rsidRDefault="00D64E6A" w:rsidP="002C4683">
      <w:pPr>
        <w:rPr>
          <w:lang w:val="en-US"/>
        </w:rPr>
      </w:pPr>
    </w:p>
    <w:p w:rsidR="00D64E6A" w:rsidRDefault="00D64E6A" w:rsidP="002C4683">
      <w:pPr>
        <w:rPr>
          <w:lang w:val="en-US"/>
        </w:rPr>
      </w:pPr>
    </w:p>
    <w:p w:rsidR="00D64E6A" w:rsidRDefault="00D64E6A" w:rsidP="002C4683">
      <w:pPr>
        <w:rPr>
          <w:lang w:val="en-US"/>
        </w:rPr>
      </w:pPr>
    </w:p>
    <w:p w:rsidR="00D64E6A" w:rsidRDefault="00D64E6A" w:rsidP="002C4683">
      <w:pPr>
        <w:rPr>
          <w:lang w:val="en-US"/>
        </w:rPr>
      </w:pPr>
    </w:p>
    <w:p w:rsidR="00D64E6A" w:rsidRDefault="00D64E6A" w:rsidP="002C4683">
      <w:pPr>
        <w:rPr>
          <w:lang w:val="en-US"/>
        </w:rPr>
      </w:pPr>
    </w:p>
    <w:p w:rsidR="00D64E6A" w:rsidRDefault="00D64E6A" w:rsidP="002C4683">
      <w:pPr>
        <w:rPr>
          <w:lang w:val="en-US"/>
        </w:rPr>
      </w:pPr>
    </w:p>
    <w:p w:rsidR="00D64E6A" w:rsidRDefault="00D64E6A" w:rsidP="002C4683">
      <w:pPr>
        <w:rPr>
          <w:lang w:val="en-US"/>
        </w:rPr>
      </w:pPr>
    </w:p>
    <w:p w:rsidR="00D64E6A" w:rsidRDefault="00D64E6A" w:rsidP="002C4683">
      <w:pPr>
        <w:rPr>
          <w:lang w:val="en-US"/>
        </w:rPr>
      </w:pPr>
    </w:p>
    <w:p w:rsidR="00D64E6A" w:rsidRDefault="00D64E6A" w:rsidP="002C4683">
      <w:pPr>
        <w:rPr>
          <w:lang w:val="en-US"/>
        </w:rPr>
      </w:pPr>
    </w:p>
    <w:p w:rsidR="00D64E6A" w:rsidRPr="002C4683" w:rsidRDefault="00D64E6A" w:rsidP="002C4683">
      <w:pPr>
        <w:rPr>
          <w:lang w:val="en-US"/>
        </w:rPr>
      </w:pPr>
    </w:p>
    <w:p w:rsidR="00D64E6A" w:rsidRPr="005D567D" w:rsidRDefault="00D64E6A" w:rsidP="00D64E6A">
      <w:pPr>
        <w:spacing w:line="276" w:lineRule="auto"/>
        <w:jc w:val="both"/>
        <w:rPr>
          <w:sz w:val="24"/>
          <w:szCs w:val="24"/>
        </w:rPr>
      </w:pPr>
      <w:r>
        <w:rPr>
          <w:b/>
          <w:bCs/>
          <w:sz w:val="24"/>
          <w:szCs w:val="24"/>
          <w:lang w:val="hr-HR" w:eastAsia="hr-HR"/>
        </w:rPr>
        <w:t xml:space="preserve">                                 </w:t>
      </w:r>
      <w:r w:rsidRPr="003D56E2">
        <w:rPr>
          <w:b/>
          <w:bCs/>
          <w:sz w:val="24"/>
          <w:szCs w:val="24"/>
          <w:lang w:val="hr-HR" w:eastAsia="hr-HR"/>
        </w:rPr>
        <w:t>Makroekonomski pokazatelji za period 201</w:t>
      </w:r>
      <w:r>
        <w:rPr>
          <w:b/>
          <w:bCs/>
          <w:sz w:val="24"/>
          <w:szCs w:val="24"/>
          <w:lang w:val="hr-HR" w:eastAsia="hr-HR"/>
        </w:rPr>
        <w:t>8</w:t>
      </w:r>
      <w:r w:rsidRPr="003D56E2">
        <w:rPr>
          <w:b/>
          <w:bCs/>
          <w:sz w:val="24"/>
          <w:szCs w:val="24"/>
          <w:lang w:val="hr-HR" w:eastAsia="hr-HR"/>
        </w:rPr>
        <w:t>-202</w:t>
      </w:r>
      <w:r>
        <w:rPr>
          <w:b/>
          <w:bCs/>
          <w:sz w:val="24"/>
          <w:szCs w:val="24"/>
          <w:lang w:val="hr-HR" w:eastAsia="hr-HR"/>
        </w:rPr>
        <w:t xml:space="preserve">3  </w:t>
      </w:r>
    </w:p>
    <w:tbl>
      <w:tblPr>
        <w:tblpPr w:leftFromText="180" w:rightFromText="180" w:vertAnchor="text" w:horzAnchor="margin" w:tblpXSpec="center" w:tblpY="117"/>
        <w:tblW w:w="8655" w:type="dxa"/>
        <w:tblLook w:val="04A0"/>
      </w:tblPr>
      <w:tblGrid>
        <w:gridCol w:w="2877"/>
        <w:gridCol w:w="1166"/>
        <w:gridCol w:w="1137"/>
        <w:gridCol w:w="884"/>
        <w:gridCol w:w="885"/>
        <w:gridCol w:w="884"/>
        <w:gridCol w:w="822"/>
      </w:tblGrid>
      <w:tr w:rsidR="00D64E6A" w:rsidRPr="003D56E2" w:rsidTr="00A35E9C">
        <w:trPr>
          <w:trHeight w:val="450"/>
        </w:trPr>
        <w:tc>
          <w:tcPr>
            <w:tcW w:w="28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64E6A" w:rsidRPr="003D56E2" w:rsidRDefault="00D64E6A" w:rsidP="00A35E9C">
            <w:pPr>
              <w:jc w:val="center"/>
              <w:rPr>
                <w:rFonts w:cs="Calibri"/>
                <w:b/>
                <w:bCs/>
                <w:color w:val="000000"/>
                <w:sz w:val="16"/>
                <w:szCs w:val="16"/>
                <w:lang w:val="hr-HR" w:eastAsia="hr-HR"/>
              </w:rPr>
            </w:pPr>
            <w:r>
              <w:rPr>
                <w:rFonts w:cs="Calibri"/>
                <w:b/>
                <w:bCs/>
                <w:color w:val="000000"/>
                <w:sz w:val="16"/>
                <w:szCs w:val="16"/>
                <w:lang w:val="hr-HR" w:eastAsia="hr-HR"/>
              </w:rPr>
              <w:t>I</w:t>
            </w:r>
            <w:r w:rsidRPr="003D56E2">
              <w:rPr>
                <w:rFonts w:cs="Calibri"/>
                <w:b/>
                <w:bCs/>
                <w:color w:val="000000"/>
                <w:sz w:val="16"/>
                <w:szCs w:val="16"/>
                <w:lang w:val="hr-HR" w:eastAsia="hr-HR"/>
              </w:rPr>
              <w:t>ndikator</w:t>
            </w:r>
          </w:p>
        </w:tc>
        <w:tc>
          <w:tcPr>
            <w:tcW w:w="1166" w:type="dxa"/>
            <w:vMerge w:val="restart"/>
            <w:tcBorders>
              <w:top w:val="single" w:sz="8" w:space="0" w:color="auto"/>
              <w:left w:val="single" w:sz="8" w:space="0" w:color="auto"/>
              <w:bottom w:val="single" w:sz="8" w:space="0" w:color="000000"/>
              <w:right w:val="nil"/>
            </w:tcBorders>
            <w:shd w:val="clear" w:color="000000" w:fill="FFF2CC"/>
            <w:vAlign w:val="center"/>
            <w:hideMark/>
          </w:tcPr>
          <w:p w:rsidR="00D64E6A" w:rsidRPr="003D56E2" w:rsidRDefault="00D64E6A" w:rsidP="00A35E9C">
            <w:pPr>
              <w:jc w:val="center"/>
              <w:rPr>
                <w:rFonts w:cs="Calibri"/>
                <w:b/>
                <w:bCs/>
                <w:color w:val="000000"/>
                <w:sz w:val="16"/>
                <w:szCs w:val="16"/>
                <w:lang w:val="hr-HR" w:eastAsia="hr-HR"/>
              </w:rPr>
            </w:pPr>
            <w:r w:rsidRPr="003D56E2">
              <w:rPr>
                <w:rFonts w:cs="Calibri"/>
                <w:b/>
                <w:bCs/>
                <w:color w:val="000000"/>
                <w:sz w:val="16"/>
                <w:szCs w:val="16"/>
                <w:lang w:val="hr-HR" w:eastAsia="hr-HR"/>
              </w:rPr>
              <w:t>Zvanični podaci</w:t>
            </w:r>
          </w:p>
        </w:tc>
        <w:tc>
          <w:tcPr>
            <w:tcW w:w="4612" w:type="dxa"/>
            <w:gridSpan w:val="5"/>
            <w:vMerge w:val="restart"/>
            <w:tcBorders>
              <w:top w:val="single" w:sz="8" w:space="0" w:color="auto"/>
              <w:left w:val="single" w:sz="8" w:space="0" w:color="auto"/>
              <w:bottom w:val="single" w:sz="8" w:space="0" w:color="000000"/>
              <w:right w:val="single" w:sz="8" w:space="0" w:color="000000"/>
            </w:tcBorders>
            <w:shd w:val="clear" w:color="000000" w:fill="FFC000"/>
            <w:vAlign w:val="center"/>
            <w:hideMark/>
          </w:tcPr>
          <w:p w:rsidR="00D64E6A" w:rsidRPr="003D56E2" w:rsidRDefault="00D64E6A" w:rsidP="00A35E9C">
            <w:pPr>
              <w:jc w:val="center"/>
              <w:rPr>
                <w:rFonts w:cs="Calibri"/>
                <w:b/>
                <w:bCs/>
                <w:color w:val="000000"/>
                <w:sz w:val="16"/>
                <w:szCs w:val="16"/>
                <w:lang w:val="hr-HR" w:eastAsia="hr-HR"/>
              </w:rPr>
            </w:pPr>
            <w:r w:rsidRPr="003D56E2">
              <w:rPr>
                <w:rFonts w:cs="Calibri"/>
                <w:b/>
                <w:bCs/>
                <w:color w:val="000000"/>
                <w:sz w:val="16"/>
                <w:szCs w:val="16"/>
                <w:lang w:val="hr-HR" w:eastAsia="hr-HR"/>
              </w:rPr>
              <w:t>Projekcije</w:t>
            </w:r>
          </w:p>
        </w:tc>
      </w:tr>
      <w:tr w:rsidR="00D64E6A" w:rsidRPr="003D56E2" w:rsidTr="00A35E9C">
        <w:trPr>
          <w:trHeight w:val="450"/>
        </w:trPr>
        <w:tc>
          <w:tcPr>
            <w:tcW w:w="2877" w:type="dxa"/>
            <w:vMerge/>
            <w:tcBorders>
              <w:top w:val="single" w:sz="8" w:space="0" w:color="auto"/>
              <w:left w:val="single" w:sz="8" w:space="0" w:color="auto"/>
              <w:bottom w:val="single" w:sz="8" w:space="0" w:color="000000"/>
              <w:right w:val="single" w:sz="8" w:space="0" w:color="auto"/>
            </w:tcBorders>
            <w:vAlign w:val="center"/>
            <w:hideMark/>
          </w:tcPr>
          <w:p w:rsidR="00D64E6A" w:rsidRPr="003D56E2" w:rsidRDefault="00D64E6A" w:rsidP="00A35E9C">
            <w:pPr>
              <w:rPr>
                <w:rFonts w:cs="Calibri"/>
                <w:b/>
                <w:bCs/>
                <w:color w:val="000000"/>
                <w:sz w:val="16"/>
                <w:szCs w:val="16"/>
                <w:lang w:val="hr-HR" w:eastAsia="hr-HR"/>
              </w:rPr>
            </w:pPr>
          </w:p>
        </w:tc>
        <w:tc>
          <w:tcPr>
            <w:tcW w:w="1166" w:type="dxa"/>
            <w:vMerge/>
            <w:tcBorders>
              <w:top w:val="single" w:sz="8" w:space="0" w:color="auto"/>
              <w:left w:val="single" w:sz="8" w:space="0" w:color="auto"/>
              <w:bottom w:val="single" w:sz="8" w:space="0" w:color="000000"/>
              <w:right w:val="nil"/>
            </w:tcBorders>
            <w:vAlign w:val="center"/>
            <w:hideMark/>
          </w:tcPr>
          <w:p w:rsidR="00D64E6A" w:rsidRPr="003D56E2" w:rsidRDefault="00D64E6A" w:rsidP="00A35E9C">
            <w:pPr>
              <w:rPr>
                <w:rFonts w:cs="Calibri"/>
                <w:b/>
                <w:bCs/>
                <w:color w:val="000000"/>
                <w:sz w:val="16"/>
                <w:szCs w:val="16"/>
                <w:lang w:val="hr-HR" w:eastAsia="hr-HR"/>
              </w:rPr>
            </w:pPr>
          </w:p>
        </w:tc>
        <w:tc>
          <w:tcPr>
            <w:tcW w:w="4612" w:type="dxa"/>
            <w:gridSpan w:val="5"/>
            <w:vMerge/>
            <w:tcBorders>
              <w:top w:val="single" w:sz="8" w:space="0" w:color="auto"/>
              <w:left w:val="single" w:sz="8" w:space="0" w:color="auto"/>
              <w:bottom w:val="single" w:sz="8" w:space="0" w:color="000000"/>
              <w:right w:val="single" w:sz="8" w:space="0" w:color="000000"/>
            </w:tcBorders>
            <w:vAlign w:val="center"/>
            <w:hideMark/>
          </w:tcPr>
          <w:p w:rsidR="00D64E6A" w:rsidRPr="003D56E2" w:rsidRDefault="00D64E6A" w:rsidP="00A35E9C">
            <w:pPr>
              <w:rPr>
                <w:rFonts w:cs="Calibri"/>
                <w:b/>
                <w:bCs/>
                <w:color w:val="000000"/>
                <w:sz w:val="16"/>
                <w:szCs w:val="16"/>
                <w:lang w:val="hr-HR" w:eastAsia="hr-HR"/>
              </w:rPr>
            </w:pPr>
          </w:p>
        </w:tc>
      </w:tr>
      <w:tr w:rsidR="00D64E6A" w:rsidRPr="003D56E2" w:rsidTr="00A35E9C">
        <w:trPr>
          <w:trHeight w:val="234"/>
        </w:trPr>
        <w:tc>
          <w:tcPr>
            <w:tcW w:w="2877" w:type="dxa"/>
            <w:vMerge/>
            <w:tcBorders>
              <w:top w:val="single" w:sz="8" w:space="0" w:color="auto"/>
              <w:left w:val="single" w:sz="8" w:space="0" w:color="auto"/>
              <w:bottom w:val="single" w:sz="8" w:space="0" w:color="000000"/>
              <w:right w:val="single" w:sz="8" w:space="0" w:color="auto"/>
            </w:tcBorders>
            <w:vAlign w:val="center"/>
            <w:hideMark/>
          </w:tcPr>
          <w:p w:rsidR="00D64E6A" w:rsidRPr="003D56E2" w:rsidRDefault="00D64E6A" w:rsidP="00A35E9C">
            <w:pPr>
              <w:rPr>
                <w:rFonts w:cs="Calibri"/>
                <w:b/>
                <w:bCs/>
                <w:color w:val="000000"/>
                <w:sz w:val="16"/>
                <w:szCs w:val="16"/>
                <w:lang w:val="hr-HR" w:eastAsia="hr-HR"/>
              </w:rPr>
            </w:pPr>
          </w:p>
        </w:tc>
        <w:tc>
          <w:tcPr>
            <w:tcW w:w="1166" w:type="dxa"/>
            <w:tcBorders>
              <w:top w:val="nil"/>
              <w:left w:val="nil"/>
              <w:bottom w:val="single" w:sz="8" w:space="0" w:color="auto"/>
              <w:right w:val="single" w:sz="8" w:space="0" w:color="auto"/>
            </w:tcBorders>
            <w:shd w:val="clear" w:color="auto" w:fill="auto"/>
            <w:vAlign w:val="center"/>
            <w:hideMark/>
          </w:tcPr>
          <w:p w:rsidR="00D64E6A" w:rsidRPr="003D56E2" w:rsidRDefault="00D64E6A" w:rsidP="00A35E9C">
            <w:pPr>
              <w:jc w:val="center"/>
              <w:rPr>
                <w:rFonts w:cs="Calibri"/>
                <w:b/>
                <w:bCs/>
                <w:color w:val="000000"/>
                <w:sz w:val="16"/>
                <w:szCs w:val="16"/>
                <w:lang w:val="hr-HR" w:eastAsia="hr-HR"/>
              </w:rPr>
            </w:pPr>
            <w:r w:rsidRPr="003D56E2">
              <w:rPr>
                <w:rFonts w:cs="Calibri"/>
                <w:b/>
                <w:bCs/>
                <w:color w:val="000000"/>
                <w:sz w:val="16"/>
                <w:szCs w:val="16"/>
                <w:lang w:val="hr-HR" w:eastAsia="hr-HR"/>
              </w:rPr>
              <w:t>201</w:t>
            </w:r>
            <w:r>
              <w:rPr>
                <w:rFonts w:cs="Calibri"/>
                <w:b/>
                <w:bCs/>
                <w:color w:val="000000"/>
                <w:sz w:val="16"/>
                <w:szCs w:val="16"/>
                <w:lang w:val="hr-HR" w:eastAsia="hr-HR"/>
              </w:rPr>
              <w:t>8</w:t>
            </w:r>
          </w:p>
        </w:tc>
        <w:tc>
          <w:tcPr>
            <w:tcW w:w="1137" w:type="dxa"/>
            <w:tcBorders>
              <w:top w:val="nil"/>
              <w:left w:val="nil"/>
              <w:bottom w:val="single" w:sz="8" w:space="0" w:color="auto"/>
              <w:right w:val="single" w:sz="8" w:space="0" w:color="auto"/>
            </w:tcBorders>
            <w:shd w:val="clear" w:color="auto" w:fill="auto"/>
            <w:vAlign w:val="center"/>
            <w:hideMark/>
          </w:tcPr>
          <w:p w:rsidR="00D64E6A" w:rsidRPr="003D56E2" w:rsidRDefault="00D64E6A" w:rsidP="00A35E9C">
            <w:pPr>
              <w:jc w:val="center"/>
              <w:rPr>
                <w:rFonts w:cs="Calibri"/>
                <w:b/>
                <w:bCs/>
                <w:color w:val="000000"/>
                <w:sz w:val="16"/>
                <w:szCs w:val="16"/>
                <w:lang w:val="hr-HR" w:eastAsia="hr-HR"/>
              </w:rPr>
            </w:pPr>
            <w:r w:rsidRPr="003D56E2">
              <w:rPr>
                <w:rFonts w:cs="Calibri"/>
                <w:b/>
                <w:bCs/>
                <w:color w:val="000000"/>
                <w:sz w:val="16"/>
                <w:szCs w:val="16"/>
                <w:lang w:val="hr-HR" w:eastAsia="hr-HR"/>
              </w:rPr>
              <w:t>201</w:t>
            </w:r>
            <w:r>
              <w:rPr>
                <w:rFonts w:cs="Calibri"/>
                <w:b/>
                <w:bCs/>
                <w:color w:val="000000"/>
                <w:sz w:val="16"/>
                <w:szCs w:val="16"/>
                <w:lang w:val="hr-HR" w:eastAsia="hr-HR"/>
              </w:rPr>
              <w:t>9</w:t>
            </w:r>
          </w:p>
        </w:tc>
        <w:tc>
          <w:tcPr>
            <w:tcW w:w="884" w:type="dxa"/>
            <w:tcBorders>
              <w:top w:val="nil"/>
              <w:left w:val="nil"/>
              <w:bottom w:val="single" w:sz="8" w:space="0" w:color="auto"/>
              <w:right w:val="single" w:sz="8" w:space="0" w:color="auto"/>
            </w:tcBorders>
            <w:shd w:val="clear" w:color="auto" w:fill="auto"/>
            <w:vAlign w:val="center"/>
            <w:hideMark/>
          </w:tcPr>
          <w:p w:rsidR="00D64E6A" w:rsidRPr="003D56E2" w:rsidRDefault="00D64E6A" w:rsidP="00A35E9C">
            <w:pPr>
              <w:jc w:val="center"/>
              <w:rPr>
                <w:rFonts w:cs="Calibri"/>
                <w:b/>
                <w:bCs/>
                <w:color w:val="000000"/>
                <w:sz w:val="16"/>
                <w:szCs w:val="16"/>
                <w:lang w:val="hr-HR" w:eastAsia="hr-HR"/>
              </w:rPr>
            </w:pPr>
            <w:r w:rsidRPr="003D56E2">
              <w:rPr>
                <w:rFonts w:cs="Calibri"/>
                <w:b/>
                <w:bCs/>
                <w:color w:val="000000"/>
                <w:sz w:val="16"/>
                <w:szCs w:val="16"/>
                <w:lang w:val="hr-HR" w:eastAsia="hr-HR"/>
              </w:rPr>
              <w:t>20</w:t>
            </w:r>
            <w:r>
              <w:rPr>
                <w:rFonts w:cs="Calibri"/>
                <w:b/>
                <w:bCs/>
                <w:color w:val="000000"/>
                <w:sz w:val="16"/>
                <w:szCs w:val="16"/>
                <w:lang w:val="hr-HR" w:eastAsia="hr-HR"/>
              </w:rPr>
              <w:t>20</w:t>
            </w:r>
          </w:p>
        </w:tc>
        <w:tc>
          <w:tcPr>
            <w:tcW w:w="885" w:type="dxa"/>
            <w:tcBorders>
              <w:top w:val="nil"/>
              <w:left w:val="nil"/>
              <w:bottom w:val="single" w:sz="8" w:space="0" w:color="auto"/>
              <w:right w:val="single" w:sz="8" w:space="0" w:color="auto"/>
            </w:tcBorders>
            <w:shd w:val="clear" w:color="auto" w:fill="auto"/>
            <w:vAlign w:val="center"/>
            <w:hideMark/>
          </w:tcPr>
          <w:p w:rsidR="00D64E6A" w:rsidRPr="003D56E2" w:rsidRDefault="00D64E6A" w:rsidP="00A35E9C">
            <w:pPr>
              <w:jc w:val="center"/>
              <w:rPr>
                <w:rFonts w:cs="Calibri"/>
                <w:b/>
                <w:bCs/>
                <w:color w:val="000000"/>
                <w:sz w:val="16"/>
                <w:szCs w:val="16"/>
                <w:lang w:val="hr-HR" w:eastAsia="hr-HR"/>
              </w:rPr>
            </w:pPr>
            <w:r w:rsidRPr="003D56E2">
              <w:rPr>
                <w:rFonts w:cs="Calibri"/>
                <w:b/>
                <w:bCs/>
                <w:color w:val="000000"/>
                <w:sz w:val="16"/>
                <w:szCs w:val="16"/>
                <w:lang w:val="hr-HR" w:eastAsia="hr-HR"/>
              </w:rPr>
              <w:t>202</w:t>
            </w:r>
            <w:r>
              <w:rPr>
                <w:rFonts w:cs="Calibri"/>
                <w:b/>
                <w:bCs/>
                <w:color w:val="000000"/>
                <w:sz w:val="16"/>
                <w:szCs w:val="16"/>
                <w:lang w:val="hr-HR" w:eastAsia="hr-HR"/>
              </w:rPr>
              <w:t>1</w:t>
            </w:r>
          </w:p>
        </w:tc>
        <w:tc>
          <w:tcPr>
            <w:tcW w:w="884" w:type="dxa"/>
            <w:tcBorders>
              <w:top w:val="nil"/>
              <w:left w:val="nil"/>
              <w:bottom w:val="single" w:sz="8" w:space="0" w:color="auto"/>
              <w:right w:val="single" w:sz="8" w:space="0" w:color="auto"/>
            </w:tcBorders>
            <w:shd w:val="clear" w:color="auto" w:fill="auto"/>
            <w:vAlign w:val="center"/>
            <w:hideMark/>
          </w:tcPr>
          <w:p w:rsidR="00D64E6A" w:rsidRPr="003D56E2" w:rsidRDefault="00D64E6A" w:rsidP="00A35E9C">
            <w:pPr>
              <w:jc w:val="center"/>
              <w:rPr>
                <w:rFonts w:cs="Calibri"/>
                <w:b/>
                <w:bCs/>
                <w:color w:val="000000"/>
                <w:sz w:val="16"/>
                <w:szCs w:val="16"/>
                <w:lang w:val="hr-HR" w:eastAsia="hr-HR"/>
              </w:rPr>
            </w:pPr>
            <w:r w:rsidRPr="003D56E2">
              <w:rPr>
                <w:rFonts w:cs="Calibri"/>
                <w:b/>
                <w:bCs/>
                <w:color w:val="000000"/>
                <w:sz w:val="16"/>
                <w:szCs w:val="16"/>
                <w:lang w:val="hr-HR" w:eastAsia="hr-HR"/>
              </w:rPr>
              <w:t>202</w:t>
            </w:r>
            <w:r>
              <w:rPr>
                <w:rFonts w:cs="Calibri"/>
                <w:b/>
                <w:bCs/>
                <w:color w:val="000000"/>
                <w:sz w:val="16"/>
                <w:szCs w:val="16"/>
                <w:lang w:val="hr-HR" w:eastAsia="hr-HR"/>
              </w:rPr>
              <w:t>2</w:t>
            </w:r>
          </w:p>
        </w:tc>
        <w:tc>
          <w:tcPr>
            <w:tcW w:w="822" w:type="dxa"/>
            <w:tcBorders>
              <w:top w:val="nil"/>
              <w:left w:val="nil"/>
              <w:bottom w:val="single" w:sz="8" w:space="0" w:color="auto"/>
              <w:right w:val="single" w:sz="8" w:space="0" w:color="auto"/>
            </w:tcBorders>
            <w:shd w:val="clear" w:color="auto" w:fill="auto"/>
            <w:vAlign w:val="center"/>
            <w:hideMark/>
          </w:tcPr>
          <w:p w:rsidR="00D64E6A" w:rsidRPr="003D56E2" w:rsidRDefault="00D64E6A" w:rsidP="00A35E9C">
            <w:pPr>
              <w:jc w:val="center"/>
              <w:rPr>
                <w:rFonts w:cs="Calibri"/>
                <w:b/>
                <w:bCs/>
                <w:color w:val="000000"/>
                <w:sz w:val="16"/>
                <w:szCs w:val="16"/>
                <w:lang w:val="hr-HR" w:eastAsia="hr-HR"/>
              </w:rPr>
            </w:pPr>
            <w:r w:rsidRPr="003D56E2">
              <w:rPr>
                <w:rFonts w:cs="Calibri"/>
                <w:b/>
                <w:bCs/>
                <w:color w:val="000000"/>
                <w:sz w:val="16"/>
                <w:szCs w:val="16"/>
                <w:lang w:val="hr-HR" w:eastAsia="hr-HR"/>
              </w:rPr>
              <w:t>202</w:t>
            </w:r>
            <w:r>
              <w:rPr>
                <w:rFonts w:cs="Calibri"/>
                <w:b/>
                <w:bCs/>
                <w:color w:val="000000"/>
                <w:sz w:val="16"/>
                <w:szCs w:val="16"/>
                <w:lang w:val="hr-HR" w:eastAsia="hr-HR"/>
              </w:rPr>
              <w:t>3</w:t>
            </w:r>
          </w:p>
        </w:tc>
      </w:tr>
      <w:tr w:rsidR="00D64E6A" w:rsidRPr="003D56E2" w:rsidTr="00A35E9C">
        <w:trPr>
          <w:trHeight w:val="252"/>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Nominalni BDP u mil. KM</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34.023</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35.365</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34.846</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36.340</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38.077</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39.823</w:t>
            </w:r>
          </w:p>
        </w:tc>
      </w:tr>
      <w:tr w:rsidR="00D64E6A" w:rsidRPr="003D56E2" w:rsidTr="00A35E9C">
        <w:trPr>
          <w:trHeight w:val="270"/>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Nominalni rast u %</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5,2</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3,9</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-1,5</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4,</w:t>
            </w:r>
            <w:r>
              <w:rPr>
                <w:rFonts w:cs="Calibri"/>
                <w:color w:val="000000"/>
                <w:sz w:val="16"/>
                <w:szCs w:val="16"/>
                <w:lang w:val="hr-HR" w:eastAsia="hr-HR"/>
              </w:rPr>
              <w:t>3</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4,8</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4,6</w:t>
            </w:r>
          </w:p>
        </w:tc>
      </w:tr>
      <w:tr w:rsidR="00D64E6A" w:rsidRPr="003D56E2" w:rsidTr="00A35E9C">
        <w:trPr>
          <w:trHeight w:val="260"/>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BDP deflator (prethodna godina = 100)</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101,9</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100,7</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100,9</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w:t>
            </w:r>
            <w:r>
              <w:rPr>
                <w:rFonts w:cs="Calibri"/>
                <w:color w:val="000000"/>
                <w:sz w:val="16"/>
                <w:szCs w:val="16"/>
                <w:lang w:val="hr-HR" w:eastAsia="hr-HR"/>
              </w:rPr>
              <w:t>01,4</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101,</w:t>
            </w:r>
            <w:r>
              <w:rPr>
                <w:rFonts w:cs="Calibri"/>
                <w:color w:val="000000"/>
                <w:sz w:val="16"/>
                <w:szCs w:val="16"/>
                <w:lang w:val="hr-HR" w:eastAsia="hr-HR"/>
              </w:rPr>
              <w:t>7</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101,</w:t>
            </w:r>
            <w:r>
              <w:rPr>
                <w:rFonts w:cs="Calibri"/>
                <w:color w:val="000000"/>
                <w:sz w:val="16"/>
                <w:szCs w:val="16"/>
                <w:lang w:val="hr-HR" w:eastAsia="hr-HR"/>
              </w:rPr>
              <w:t>4</w:t>
            </w:r>
          </w:p>
        </w:tc>
      </w:tr>
      <w:tr w:rsidR="00D64E6A" w:rsidRPr="003D56E2" w:rsidTr="00A35E9C">
        <w:trPr>
          <w:trHeight w:val="389"/>
        </w:trPr>
        <w:tc>
          <w:tcPr>
            <w:tcW w:w="2877" w:type="dxa"/>
            <w:tcBorders>
              <w:top w:val="nil"/>
              <w:left w:val="single" w:sz="8" w:space="0" w:color="auto"/>
              <w:bottom w:val="single" w:sz="8" w:space="0" w:color="auto"/>
              <w:right w:val="single" w:sz="8" w:space="0" w:color="auto"/>
            </w:tcBorders>
            <w:shd w:val="clear" w:color="000000" w:fill="FFFFFF"/>
            <w:noWrap/>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Realni BDP u mil. KM (prethodna godina = 100)</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33.399</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35.116</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34.551</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3</w:t>
            </w:r>
            <w:r>
              <w:rPr>
                <w:rFonts w:cs="Calibri"/>
                <w:color w:val="000000"/>
                <w:sz w:val="16"/>
                <w:szCs w:val="16"/>
                <w:lang w:val="hr-HR" w:eastAsia="hr-HR"/>
              </w:rPr>
              <w:t>5.826</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37.449</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39.286</w:t>
            </w:r>
          </w:p>
        </w:tc>
      </w:tr>
      <w:tr w:rsidR="00D64E6A" w:rsidRPr="003D56E2" w:rsidTr="00A35E9C">
        <w:trPr>
          <w:trHeight w:val="270"/>
        </w:trPr>
        <w:tc>
          <w:tcPr>
            <w:tcW w:w="2877" w:type="dxa"/>
            <w:tcBorders>
              <w:top w:val="nil"/>
              <w:left w:val="single" w:sz="8" w:space="0" w:color="auto"/>
              <w:bottom w:val="single" w:sz="8" w:space="0" w:color="auto"/>
              <w:right w:val="single" w:sz="8" w:space="0" w:color="auto"/>
            </w:tcBorders>
            <w:shd w:val="clear" w:color="000000" w:fill="FFFFFF"/>
            <w:noWrap/>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 xml:space="preserve">Realni rast u % </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3,</w:t>
            </w:r>
            <w:r>
              <w:rPr>
                <w:rFonts w:cs="Calibri"/>
                <w:color w:val="000000"/>
                <w:sz w:val="16"/>
                <w:szCs w:val="16"/>
                <w:lang w:val="hr-HR" w:eastAsia="hr-HR"/>
              </w:rPr>
              <w:t>3</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3,</w:t>
            </w:r>
            <w:r>
              <w:rPr>
                <w:rFonts w:cs="Calibri"/>
                <w:color w:val="000000"/>
                <w:sz w:val="16"/>
                <w:szCs w:val="16"/>
                <w:lang w:val="hr-HR" w:eastAsia="hr-HR"/>
              </w:rPr>
              <w:t>2</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-2,3</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2,8</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3,1</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3,2</w:t>
            </w:r>
          </w:p>
        </w:tc>
      </w:tr>
      <w:tr w:rsidR="00D64E6A" w:rsidRPr="003D56E2" w:rsidTr="00A35E9C">
        <w:trPr>
          <w:trHeight w:val="389"/>
        </w:trPr>
        <w:tc>
          <w:tcPr>
            <w:tcW w:w="2877" w:type="dxa"/>
            <w:tcBorders>
              <w:top w:val="nil"/>
              <w:left w:val="single" w:sz="8" w:space="0" w:color="auto"/>
              <w:bottom w:val="single" w:sz="8" w:space="0" w:color="auto"/>
              <w:right w:val="single" w:sz="8" w:space="0" w:color="auto"/>
            </w:tcBorders>
            <w:shd w:val="clear" w:color="000000" w:fill="FFFFFF"/>
            <w:noWrap/>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Inflacija mjerena indeksom potrošačkih cijena u %</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1,4</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0,6</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0,2</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1,2</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w:t>
            </w:r>
            <w:r>
              <w:rPr>
                <w:rFonts w:cs="Calibri"/>
                <w:color w:val="000000"/>
                <w:sz w:val="16"/>
                <w:szCs w:val="16"/>
                <w:lang w:val="hr-HR" w:eastAsia="hr-HR"/>
              </w:rPr>
              <w:t>3</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w:t>
            </w:r>
            <w:r>
              <w:rPr>
                <w:rFonts w:cs="Calibri"/>
                <w:color w:val="000000"/>
                <w:sz w:val="16"/>
                <w:szCs w:val="16"/>
                <w:lang w:val="hr-HR" w:eastAsia="hr-HR"/>
              </w:rPr>
              <w:t>4</w:t>
            </w:r>
          </w:p>
        </w:tc>
      </w:tr>
      <w:tr w:rsidR="00D64E6A" w:rsidRPr="003D56E2" w:rsidTr="00A35E9C">
        <w:trPr>
          <w:trHeight w:val="280"/>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Potrošnja u mil. KM</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32.048</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3</w:t>
            </w:r>
            <w:r>
              <w:rPr>
                <w:rFonts w:cs="Calibri"/>
                <w:color w:val="000000"/>
                <w:sz w:val="16"/>
                <w:szCs w:val="16"/>
                <w:lang w:val="hr-HR" w:eastAsia="hr-HR"/>
              </w:rPr>
              <w:t>2.931</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32.</w:t>
            </w:r>
            <w:r>
              <w:rPr>
                <w:rFonts w:cs="Calibri"/>
                <w:color w:val="000000"/>
                <w:sz w:val="16"/>
                <w:szCs w:val="16"/>
                <w:lang w:val="hr-HR" w:eastAsia="hr-HR"/>
              </w:rPr>
              <w:t>736</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33.</w:t>
            </w:r>
            <w:r>
              <w:rPr>
                <w:rFonts w:cs="Calibri"/>
                <w:color w:val="000000"/>
                <w:sz w:val="16"/>
                <w:szCs w:val="16"/>
                <w:lang w:val="hr-HR" w:eastAsia="hr-HR"/>
              </w:rPr>
              <w:t>670</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34.8</w:t>
            </w:r>
            <w:r>
              <w:rPr>
                <w:rFonts w:cs="Calibri"/>
                <w:color w:val="000000"/>
                <w:sz w:val="16"/>
                <w:szCs w:val="16"/>
                <w:lang w:val="hr-HR" w:eastAsia="hr-HR"/>
              </w:rPr>
              <w:t>30</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36.</w:t>
            </w:r>
            <w:r>
              <w:rPr>
                <w:rFonts w:cs="Calibri"/>
                <w:color w:val="000000"/>
                <w:sz w:val="16"/>
                <w:szCs w:val="16"/>
                <w:lang w:val="hr-HR" w:eastAsia="hr-HR"/>
              </w:rPr>
              <w:t>555</w:t>
            </w:r>
          </w:p>
        </w:tc>
      </w:tr>
      <w:tr w:rsidR="00D64E6A" w:rsidRPr="003D56E2" w:rsidTr="00A35E9C">
        <w:trPr>
          <w:trHeight w:val="270"/>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 xml:space="preserve">Realni rast u % </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2,0</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1,8</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-1,0</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w:t>
            </w:r>
            <w:r>
              <w:rPr>
                <w:rFonts w:cs="Calibri"/>
                <w:color w:val="000000"/>
                <w:sz w:val="16"/>
                <w:szCs w:val="16"/>
                <w:lang w:val="hr-HR" w:eastAsia="hr-HR"/>
              </w:rPr>
              <w:t>4</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1,7</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w:t>
            </w:r>
            <w:r>
              <w:rPr>
                <w:rFonts w:cs="Calibri"/>
                <w:color w:val="000000"/>
                <w:sz w:val="16"/>
                <w:szCs w:val="16"/>
                <w:lang w:val="hr-HR" w:eastAsia="hr-HR"/>
              </w:rPr>
              <w:t>7</w:t>
            </w:r>
          </w:p>
        </w:tc>
      </w:tr>
      <w:tr w:rsidR="00D64E6A" w:rsidRPr="003D56E2" w:rsidTr="00A35E9C">
        <w:trPr>
          <w:trHeight w:val="274"/>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Vladina potrošnja u mil. KM</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6.611</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6.</w:t>
            </w:r>
            <w:r>
              <w:rPr>
                <w:rFonts w:cs="Calibri"/>
                <w:color w:val="000000"/>
                <w:sz w:val="16"/>
                <w:szCs w:val="16"/>
                <w:lang w:val="hr-HR" w:eastAsia="hr-HR"/>
              </w:rPr>
              <w:t>776</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6.</w:t>
            </w:r>
            <w:r>
              <w:rPr>
                <w:rFonts w:cs="Calibri"/>
                <w:color w:val="000000"/>
                <w:sz w:val="16"/>
                <w:szCs w:val="16"/>
                <w:lang w:val="hr-HR" w:eastAsia="hr-HR"/>
              </w:rPr>
              <w:t>959</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7.098</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7.325</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7.545</w:t>
            </w:r>
          </w:p>
        </w:tc>
      </w:tr>
      <w:tr w:rsidR="00D64E6A" w:rsidRPr="003D56E2" w:rsidTr="00A35E9C">
        <w:trPr>
          <w:trHeight w:val="252"/>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 xml:space="preserve">Realni rast u % </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0,9</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1,0</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1,9</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0,5</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0,</w:t>
            </w:r>
            <w:r>
              <w:rPr>
                <w:rFonts w:cs="Calibri"/>
                <w:color w:val="000000"/>
                <w:sz w:val="16"/>
                <w:szCs w:val="16"/>
                <w:lang w:val="hr-HR" w:eastAsia="hr-HR"/>
              </w:rPr>
              <w:t>7</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0,5</w:t>
            </w:r>
          </w:p>
        </w:tc>
      </w:tr>
      <w:tr w:rsidR="00D64E6A" w:rsidRPr="003D56E2" w:rsidTr="00A35E9C">
        <w:trPr>
          <w:trHeight w:val="268"/>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Privatna potrošnja u mil. KM</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25.437</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2</w:t>
            </w:r>
            <w:r>
              <w:rPr>
                <w:rFonts w:cs="Calibri"/>
                <w:color w:val="000000"/>
                <w:sz w:val="16"/>
                <w:szCs w:val="16"/>
                <w:lang w:val="hr-HR" w:eastAsia="hr-HR"/>
              </w:rPr>
              <w:t>6.155</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2</w:t>
            </w:r>
            <w:r>
              <w:rPr>
                <w:rFonts w:cs="Calibri"/>
                <w:color w:val="000000"/>
                <w:sz w:val="16"/>
                <w:szCs w:val="16"/>
                <w:lang w:val="hr-HR" w:eastAsia="hr-HR"/>
              </w:rPr>
              <w:t>5.777</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2</w:t>
            </w:r>
            <w:r>
              <w:rPr>
                <w:rFonts w:cs="Calibri"/>
                <w:color w:val="000000"/>
                <w:sz w:val="16"/>
                <w:szCs w:val="16"/>
                <w:lang w:val="hr-HR" w:eastAsia="hr-HR"/>
              </w:rPr>
              <w:t>6.572</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27.</w:t>
            </w:r>
            <w:r>
              <w:rPr>
                <w:rFonts w:cs="Calibri"/>
                <w:color w:val="000000"/>
                <w:sz w:val="16"/>
                <w:szCs w:val="16"/>
                <w:lang w:val="hr-HR" w:eastAsia="hr-HR"/>
              </w:rPr>
              <w:t>505</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28.</w:t>
            </w:r>
            <w:r>
              <w:rPr>
                <w:rFonts w:cs="Calibri"/>
                <w:color w:val="000000"/>
                <w:sz w:val="16"/>
                <w:szCs w:val="16"/>
                <w:lang w:val="hr-HR" w:eastAsia="hr-HR"/>
              </w:rPr>
              <w:t>510</w:t>
            </w:r>
          </w:p>
        </w:tc>
      </w:tr>
      <w:tr w:rsidR="00D64E6A" w:rsidRPr="003D56E2" w:rsidTr="00A35E9C">
        <w:trPr>
          <w:trHeight w:val="261"/>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 xml:space="preserve">Realni rast u % </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2,3</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2,0</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-1,7</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1,7</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1,9</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2,1</w:t>
            </w:r>
          </w:p>
        </w:tc>
      </w:tr>
      <w:tr w:rsidR="00D64E6A" w:rsidRPr="003D56E2" w:rsidTr="00A35E9C">
        <w:trPr>
          <w:trHeight w:val="389"/>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Investicije (bruto) u stalna sredstva u mil. KM</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6.310</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6.</w:t>
            </w:r>
            <w:r>
              <w:rPr>
                <w:rFonts w:cs="Calibri"/>
                <w:color w:val="000000"/>
                <w:sz w:val="16"/>
                <w:szCs w:val="16"/>
                <w:lang w:val="hr-HR" w:eastAsia="hr-HR"/>
              </w:rPr>
              <w:t>857</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6.</w:t>
            </w:r>
            <w:r>
              <w:rPr>
                <w:rFonts w:cs="Calibri"/>
                <w:color w:val="000000"/>
                <w:sz w:val="16"/>
                <w:szCs w:val="16"/>
                <w:lang w:val="hr-HR" w:eastAsia="hr-HR"/>
              </w:rPr>
              <w:t>215</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6.735</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7.397</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8.</w:t>
            </w:r>
            <w:r>
              <w:rPr>
                <w:rFonts w:cs="Calibri"/>
                <w:color w:val="000000"/>
                <w:sz w:val="16"/>
                <w:szCs w:val="16"/>
                <w:lang w:val="hr-HR" w:eastAsia="hr-HR"/>
              </w:rPr>
              <w:t>077</w:t>
            </w:r>
          </w:p>
        </w:tc>
      </w:tr>
      <w:tr w:rsidR="00D64E6A" w:rsidRPr="003D56E2" w:rsidTr="00A35E9C">
        <w:trPr>
          <w:trHeight w:val="139"/>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 xml:space="preserve">Realni rast u % </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9,2</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8,3</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-10,5</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7,1</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8,1</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7,7</w:t>
            </w:r>
          </w:p>
        </w:tc>
      </w:tr>
      <w:tr w:rsidR="00D64E6A" w:rsidRPr="003D56E2" w:rsidTr="00A35E9C">
        <w:trPr>
          <w:trHeight w:val="199"/>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Vladine investicije u mil. KM</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859</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9</w:t>
            </w:r>
            <w:r>
              <w:rPr>
                <w:rFonts w:cs="Calibri"/>
                <w:color w:val="000000"/>
                <w:sz w:val="16"/>
                <w:szCs w:val="16"/>
                <w:lang w:val="hr-HR" w:eastAsia="hr-HR"/>
              </w:rPr>
              <w:t>54</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920</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w:t>
            </w:r>
            <w:r>
              <w:rPr>
                <w:rFonts w:cs="Calibri"/>
                <w:color w:val="000000"/>
                <w:sz w:val="16"/>
                <w:szCs w:val="16"/>
                <w:lang w:val="hr-HR" w:eastAsia="hr-HR"/>
              </w:rPr>
              <w:t>042</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w:t>
            </w:r>
            <w:r>
              <w:rPr>
                <w:rFonts w:cs="Calibri"/>
                <w:color w:val="000000"/>
                <w:sz w:val="16"/>
                <w:szCs w:val="16"/>
                <w:lang w:val="hr-HR" w:eastAsia="hr-HR"/>
              </w:rPr>
              <w:t>176</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w:t>
            </w:r>
            <w:r>
              <w:rPr>
                <w:rFonts w:cs="Calibri"/>
                <w:color w:val="000000"/>
                <w:sz w:val="16"/>
                <w:szCs w:val="16"/>
                <w:lang w:val="hr-HR" w:eastAsia="hr-HR"/>
              </w:rPr>
              <w:t>307</w:t>
            </w:r>
          </w:p>
        </w:tc>
      </w:tr>
      <w:tr w:rsidR="00D64E6A" w:rsidRPr="003D56E2" w:rsidTr="00A35E9C">
        <w:trPr>
          <w:trHeight w:val="274"/>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 xml:space="preserve">Realni rast u % </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15,4</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9,4</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-5,0</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11,6</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10,0</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8,5</w:t>
            </w:r>
          </w:p>
        </w:tc>
      </w:tr>
      <w:tr w:rsidR="00D64E6A" w:rsidRPr="003D56E2" w:rsidTr="00A35E9C">
        <w:trPr>
          <w:trHeight w:val="249"/>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Privatne investicije u mil. KM</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5.454</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5.</w:t>
            </w:r>
            <w:r>
              <w:rPr>
                <w:rFonts w:cs="Calibri"/>
                <w:color w:val="000000"/>
                <w:sz w:val="16"/>
                <w:szCs w:val="16"/>
                <w:lang w:val="hr-HR" w:eastAsia="hr-HR"/>
              </w:rPr>
              <w:t>903</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5.</w:t>
            </w:r>
            <w:r>
              <w:rPr>
                <w:rFonts w:cs="Calibri"/>
                <w:color w:val="000000"/>
                <w:sz w:val="16"/>
                <w:szCs w:val="16"/>
                <w:lang w:val="hr-HR" w:eastAsia="hr-HR"/>
              </w:rPr>
              <w:t>295</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5.692</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6.</w:t>
            </w:r>
            <w:r>
              <w:rPr>
                <w:rFonts w:cs="Calibri"/>
                <w:color w:val="000000"/>
                <w:sz w:val="16"/>
                <w:szCs w:val="16"/>
                <w:lang w:val="hr-HR" w:eastAsia="hr-HR"/>
              </w:rPr>
              <w:t>222</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6.769</w:t>
            </w:r>
          </w:p>
        </w:tc>
      </w:tr>
      <w:tr w:rsidR="00D64E6A" w:rsidRPr="003D56E2" w:rsidTr="00A35E9C">
        <w:trPr>
          <w:trHeight w:val="268"/>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 xml:space="preserve">Realni rast u % </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8,3</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8,1</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-11,4</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6,3</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7,8</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7,5</w:t>
            </w:r>
          </w:p>
        </w:tc>
      </w:tr>
      <w:tr w:rsidR="00D64E6A" w:rsidRPr="003D56E2" w:rsidTr="00A35E9C">
        <w:trPr>
          <w:trHeight w:val="129"/>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Uvoz  u mil. KM</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19.097</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19.</w:t>
            </w:r>
            <w:r>
              <w:rPr>
                <w:rFonts w:cs="Calibri"/>
                <w:color w:val="000000"/>
                <w:sz w:val="16"/>
                <w:szCs w:val="16"/>
                <w:lang w:val="hr-HR" w:eastAsia="hr-HR"/>
              </w:rPr>
              <w:t>955</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18.549</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19.478</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2</w:t>
            </w:r>
            <w:r>
              <w:rPr>
                <w:rFonts w:cs="Calibri"/>
                <w:color w:val="000000"/>
                <w:sz w:val="16"/>
                <w:szCs w:val="16"/>
                <w:lang w:val="hr-HR" w:eastAsia="hr-HR"/>
              </w:rPr>
              <w:t>0.828</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2</w:t>
            </w:r>
            <w:r>
              <w:rPr>
                <w:rFonts w:cs="Calibri"/>
                <w:color w:val="000000"/>
                <w:sz w:val="16"/>
                <w:szCs w:val="16"/>
                <w:lang w:val="hr-HR" w:eastAsia="hr-HR"/>
              </w:rPr>
              <w:t>2.520</w:t>
            </w:r>
          </w:p>
        </w:tc>
      </w:tr>
      <w:tr w:rsidR="00D64E6A" w:rsidRPr="003D56E2" w:rsidTr="00A35E9C">
        <w:trPr>
          <w:trHeight w:val="204"/>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Nominalni rast u %</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6,7</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4,5</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-7,0</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5,0</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6,9</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8,1</w:t>
            </w:r>
          </w:p>
        </w:tc>
      </w:tr>
      <w:tr w:rsidR="00D64E6A" w:rsidRPr="003D56E2" w:rsidTr="00A35E9C">
        <w:trPr>
          <w:trHeight w:val="249"/>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 xml:space="preserve">Realni rast u % </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3,7</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2,5</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-6,1</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3,2</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4,5</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5,1</w:t>
            </w:r>
          </w:p>
        </w:tc>
      </w:tr>
      <w:tr w:rsidR="00D64E6A" w:rsidRPr="003D56E2" w:rsidTr="00A35E9C">
        <w:trPr>
          <w:trHeight w:val="126"/>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Izvoz u mil. KM</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14.087</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14.850</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13.821</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w:t>
            </w:r>
            <w:r>
              <w:rPr>
                <w:rFonts w:cs="Calibri"/>
                <w:color w:val="000000"/>
                <w:sz w:val="16"/>
                <w:szCs w:val="16"/>
                <w:lang w:val="hr-HR" w:eastAsia="hr-HR"/>
              </w:rPr>
              <w:t>4.726</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w:t>
            </w:r>
            <w:r>
              <w:rPr>
                <w:rFonts w:cs="Calibri"/>
                <w:color w:val="000000"/>
                <w:sz w:val="16"/>
                <w:szCs w:val="16"/>
                <w:lang w:val="hr-HR" w:eastAsia="hr-HR"/>
              </w:rPr>
              <w:t>5.976</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17.471</w:t>
            </w:r>
          </w:p>
        </w:tc>
      </w:tr>
      <w:tr w:rsidR="00D64E6A" w:rsidRPr="003D56E2" w:rsidTr="00A35E9C">
        <w:trPr>
          <w:trHeight w:val="199"/>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Nominalni rast u %</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10,0</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5,4</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6,9</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6,5</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8,5</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9,</w:t>
            </w:r>
            <w:r>
              <w:rPr>
                <w:rFonts w:cs="Calibri"/>
                <w:color w:val="000000"/>
                <w:sz w:val="16"/>
                <w:szCs w:val="16"/>
                <w:lang w:val="hr-HR" w:eastAsia="hr-HR"/>
              </w:rPr>
              <w:t>4</w:t>
            </w:r>
          </w:p>
        </w:tc>
      </w:tr>
      <w:tr w:rsidR="00D64E6A" w:rsidRPr="003D56E2" w:rsidTr="00A35E9C">
        <w:trPr>
          <w:trHeight w:val="117"/>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 xml:space="preserve">Realni rast u % </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6,1</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3,4</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-6,4</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4,3</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5,8</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6,7</w:t>
            </w:r>
          </w:p>
        </w:tc>
      </w:tr>
      <w:tr w:rsidR="00D64E6A" w:rsidRPr="003D56E2" w:rsidTr="00A35E9C">
        <w:trPr>
          <w:trHeight w:val="389"/>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Nacionalna bruto štednja u % BDP-a</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16,9</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18,4</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16,8</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17,7</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18,4</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18,8</w:t>
            </w:r>
          </w:p>
        </w:tc>
      </w:tr>
      <w:tr w:rsidR="00D64E6A" w:rsidRPr="003D56E2" w:rsidTr="00A35E9C">
        <w:trPr>
          <w:trHeight w:val="264"/>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Bilans tekućeg računa u mil. KM</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-1.236</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w:t>
            </w:r>
            <w:r>
              <w:rPr>
                <w:rFonts w:cs="Calibri"/>
                <w:color w:val="000000"/>
                <w:sz w:val="16"/>
                <w:szCs w:val="16"/>
                <w:lang w:val="hr-HR" w:eastAsia="hr-HR"/>
              </w:rPr>
              <w:t>022</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w:t>
            </w:r>
            <w:r>
              <w:rPr>
                <w:rFonts w:cs="Calibri"/>
                <w:color w:val="000000"/>
                <w:sz w:val="16"/>
                <w:szCs w:val="16"/>
                <w:lang w:val="hr-HR" w:eastAsia="hr-HR"/>
              </w:rPr>
              <w:t>975</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w:t>
            </w:r>
            <w:r>
              <w:rPr>
                <w:rFonts w:cs="Calibri"/>
                <w:color w:val="000000"/>
                <w:sz w:val="16"/>
                <w:szCs w:val="16"/>
                <w:lang w:val="hr-HR" w:eastAsia="hr-HR"/>
              </w:rPr>
              <w:t>990</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w:t>
            </w:r>
            <w:r>
              <w:rPr>
                <w:rFonts w:cs="Calibri"/>
                <w:color w:val="000000"/>
                <w:sz w:val="16"/>
                <w:szCs w:val="16"/>
                <w:lang w:val="hr-HR" w:eastAsia="hr-HR"/>
              </w:rPr>
              <w:t>084</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-1.</w:t>
            </w:r>
            <w:r>
              <w:rPr>
                <w:rFonts w:cs="Calibri"/>
                <w:color w:val="000000"/>
                <w:sz w:val="16"/>
                <w:szCs w:val="16"/>
                <w:lang w:val="hr-HR" w:eastAsia="hr-HR"/>
              </w:rPr>
              <w:t>320</w:t>
            </w:r>
          </w:p>
        </w:tc>
      </w:tr>
      <w:tr w:rsidR="00D64E6A" w:rsidRPr="003D56E2" w:rsidTr="00A35E9C">
        <w:trPr>
          <w:trHeight w:val="37"/>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Rast u %</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-9,1</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-17,4</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w:t>
            </w:r>
            <w:r>
              <w:rPr>
                <w:rFonts w:cs="Calibri"/>
                <w:color w:val="000000"/>
                <w:sz w:val="16"/>
                <w:szCs w:val="16"/>
                <w:lang w:val="hr-HR" w:eastAsia="hr-HR"/>
              </w:rPr>
              <w:t>4,5</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1,5</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9,4</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21,8</w:t>
            </w:r>
          </w:p>
        </w:tc>
      </w:tr>
      <w:tr w:rsidR="00D64E6A" w:rsidRPr="003D56E2" w:rsidTr="00A35E9C">
        <w:trPr>
          <w:trHeight w:val="214"/>
        </w:trPr>
        <w:tc>
          <w:tcPr>
            <w:tcW w:w="2877" w:type="dxa"/>
            <w:tcBorders>
              <w:top w:val="nil"/>
              <w:left w:val="single" w:sz="8" w:space="0" w:color="auto"/>
              <w:bottom w:val="single" w:sz="8" w:space="0" w:color="auto"/>
              <w:right w:val="single" w:sz="8" w:space="0" w:color="auto"/>
            </w:tcBorders>
            <w:shd w:val="clear" w:color="000000" w:fill="FFFFFF"/>
            <w:vAlign w:val="center"/>
            <w:hideMark/>
          </w:tcPr>
          <w:p w:rsidR="00D64E6A" w:rsidRPr="003D56E2" w:rsidRDefault="00D64E6A" w:rsidP="00A35E9C">
            <w:pPr>
              <w:rPr>
                <w:rFonts w:cs="Calibri"/>
                <w:b/>
                <w:bCs/>
                <w:color w:val="000000"/>
                <w:sz w:val="16"/>
                <w:szCs w:val="16"/>
                <w:lang w:val="hr-HR" w:eastAsia="hr-HR"/>
              </w:rPr>
            </w:pPr>
            <w:r w:rsidRPr="003D56E2">
              <w:rPr>
                <w:rFonts w:cs="Calibri"/>
                <w:b/>
                <w:bCs/>
                <w:color w:val="000000"/>
                <w:sz w:val="16"/>
                <w:szCs w:val="16"/>
                <w:lang w:val="hr-HR" w:eastAsia="hr-HR"/>
              </w:rPr>
              <w:t>Bilans tekućeg računa u % BDP-a</w:t>
            </w:r>
          </w:p>
        </w:tc>
        <w:tc>
          <w:tcPr>
            <w:tcW w:w="1166"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Pr>
                <w:rFonts w:cs="Calibri"/>
                <w:color w:val="000000"/>
                <w:sz w:val="16"/>
                <w:szCs w:val="16"/>
                <w:lang w:val="hr-HR" w:eastAsia="hr-HR"/>
              </w:rPr>
              <w:t>-3,6</w:t>
            </w:r>
          </w:p>
        </w:tc>
        <w:tc>
          <w:tcPr>
            <w:tcW w:w="1137"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w:t>
            </w:r>
            <w:r>
              <w:rPr>
                <w:rFonts w:cs="Calibri"/>
                <w:color w:val="000000"/>
                <w:sz w:val="16"/>
                <w:szCs w:val="16"/>
                <w:lang w:val="hr-HR" w:eastAsia="hr-HR"/>
              </w:rPr>
              <w:t>2,9</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w:t>
            </w:r>
            <w:r>
              <w:rPr>
                <w:rFonts w:cs="Calibri"/>
                <w:color w:val="000000"/>
                <w:sz w:val="16"/>
                <w:szCs w:val="16"/>
                <w:lang w:val="hr-HR" w:eastAsia="hr-HR"/>
              </w:rPr>
              <w:t>2,8</w:t>
            </w:r>
          </w:p>
        </w:tc>
        <w:tc>
          <w:tcPr>
            <w:tcW w:w="885"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w:t>
            </w:r>
            <w:r>
              <w:rPr>
                <w:rFonts w:cs="Calibri"/>
                <w:color w:val="000000"/>
                <w:sz w:val="16"/>
                <w:szCs w:val="16"/>
                <w:lang w:val="hr-HR" w:eastAsia="hr-HR"/>
              </w:rPr>
              <w:t>2,7</w:t>
            </w:r>
          </w:p>
        </w:tc>
        <w:tc>
          <w:tcPr>
            <w:tcW w:w="884"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w:t>
            </w:r>
            <w:r>
              <w:rPr>
                <w:rFonts w:cs="Calibri"/>
                <w:color w:val="000000"/>
                <w:sz w:val="16"/>
                <w:szCs w:val="16"/>
                <w:lang w:val="hr-HR" w:eastAsia="hr-HR"/>
              </w:rPr>
              <w:t>2,8</w:t>
            </w:r>
          </w:p>
        </w:tc>
        <w:tc>
          <w:tcPr>
            <w:tcW w:w="822" w:type="dxa"/>
            <w:tcBorders>
              <w:top w:val="nil"/>
              <w:left w:val="nil"/>
              <w:bottom w:val="single" w:sz="8" w:space="0" w:color="auto"/>
              <w:right w:val="single" w:sz="8" w:space="0" w:color="auto"/>
            </w:tcBorders>
            <w:shd w:val="clear" w:color="000000" w:fill="FFFFFF"/>
            <w:vAlign w:val="center"/>
            <w:hideMark/>
          </w:tcPr>
          <w:p w:rsidR="00D64E6A" w:rsidRPr="003D56E2" w:rsidRDefault="00D64E6A" w:rsidP="00A35E9C">
            <w:pPr>
              <w:ind w:firstLineChars="100" w:firstLine="160"/>
              <w:jc w:val="right"/>
              <w:rPr>
                <w:rFonts w:cs="Calibri"/>
                <w:color w:val="000000"/>
                <w:sz w:val="16"/>
                <w:szCs w:val="16"/>
                <w:lang w:val="hr-HR" w:eastAsia="hr-HR"/>
              </w:rPr>
            </w:pPr>
            <w:r w:rsidRPr="003D56E2">
              <w:rPr>
                <w:rFonts w:cs="Calibri"/>
                <w:color w:val="000000"/>
                <w:sz w:val="16"/>
                <w:szCs w:val="16"/>
                <w:lang w:val="hr-HR" w:eastAsia="hr-HR"/>
              </w:rPr>
              <w:t>-</w:t>
            </w:r>
            <w:r>
              <w:rPr>
                <w:rFonts w:cs="Calibri"/>
                <w:color w:val="000000"/>
                <w:sz w:val="16"/>
                <w:szCs w:val="16"/>
                <w:lang w:val="hr-HR" w:eastAsia="hr-HR"/>
              </w:rPr>
              <w:t>3,3</w:t>
            </w:r>
          </w:p>
        </w:tc>
      </w:tr>
    </w:tbl>
    <w:p w:rsidR="00D64E6A" w:rsidRPr="0036554F" w:rsidRDefault="00D64E6A" w:rsidP="00D64E6A">
      <w:pPr>
        <w:rPr>
          <w:sz w:val="18"/>
          <w:szCs w:val="24"/>
          <w:lang w:eastAsia="hr-BA"/>
        </w:rPr>
      </w:pPr>
      <w:r>
        <w:rPr>
          <w:sz w:val="18"/>
          <w:szCs w:val="24"/>
          <w:lang w:eastAsia="hr-BA"/>
        </w:rPr>
        <w:t xml:space="preserve">    </w:t>
      </w:r>
      <w:r w:rsidRPr="0036554F">
        <w:rPr>
          <w:sz w:val="18"/>
          <w:szCs w:val="24"/>
          <w:lang w:eastAsia="hr-BA"/>
        </w:rPr>
        <w:t xml:space="preserve">Izvor: DEP: Makroekonomske projekcije za DOB, </w:t>
      </w:r>
      <w:r>
        <w:rPr>
          <w:sz w:val="18"/>
          <w:szCs w:val="24"/>
          <w:lang w:eastAsia="hr-BA"/>
        </w:rPr>
        <w:t xml:space="preserve">April </w:t>
      </w:r>
      <w:r w:rsidRPr="0036554F">
        <w:rPr>
          <w:sz w:val="18"/>
          <w:szCs w:val="24"/>
          <w:lang w:eastAsia="hr-BA"/>
        </w:rPr>
        <w:t xml:space="preserve"> 20</w:t>
      </w:r>
      <w:r>
        <w:rPr>
          <w:sz w:val="18"/>
          <w:szCs w:val="24"/>
          <w:lang w:eastAsia="hr-BA"/>
        </w:rPr>
        <w:t>20</w:t>
      </w:r>
      <w:r w:rsidRPr="0036554F">
        <w:rPr>
          <w:sz w:val="18"/>
          <w:szCs w:val="24"/>
          <w:lang w:eastAsia="hr-BA"/>
        </w:rPr>
        <w:t>.</w:t>
      </w:r>
    </w:p>
    <w:p w:rsidR="00D64E6A" w:rsidRDefault="00D64E6A" w:rsidP="00D64E6A">
      <w:pPr>
        <w:spacing w:line="276" w:lineRule="auto"/>
        <w:jc w:val="both"/>
        <w:rPr>
          <w:sz w:val="24"/>
          <w:szCs w:val="24"/>
        </w:rPr>
      </w:pPr>
    </w:p>
    <w:p w:rsidR="00D64E6A" w:rsidRDefault="00D64E6A" w:rsidP="00D64E6A">
      <w:pPr>
        <w:spacing w:line="276" w:lineRule="auto"/>
        <w:jc w:val="both"/>
        <w:rPr>
          <w:sz w:val="24"/>
          <w:szCs w:val="24"/>
        </w:rPr>
      </w:pPr>
    </w:p>
    <w:p w:rsidR="00D64E6A" w:rsidRPr="00B057CF" w:rsidRDefault="00D64E6A" w:rsidP="00D64E6A">
      <w:pPr>
        <w:spacing w:line="276" w:lineRule="auto"/>
        <w:jc w:val="center"/>
        <w:rPr>
          <w:sz w:val="24"/>
          <w:szCs w:val="24"/>
          <w:u w:val="single"/>
        </w:rPr>
      </w:pPr>
      <w:r w:rsidRPr="00B057CF">
        <w:rPr>
          <w:sz w:val="24"/>
          <w:szCs w:val="24"/>
          <w:u w:val="single"/>
        </w:rPr>
        <w:t>Pretpostavke kretanja BDP-a u periodu 2021.-2023. godina</w:t>
      </w:r>
    </w:p>
    <w:p w:rsidR="00D64E6A" w:rsidRPr="00B166B0" w:rsidRDefault="00D64E6A" w:rsidP="00D64E6A">
      <w:pPr>
        <w:spacing w:line="276" w:lineRule="auto"/>
        <w:jc w:val="both"/>
        <w:rPr>
          <w:sz w:val="24"/>
          <w:szCs w:val="24"/>
        </w:rPr>
      </w:pPr>
      <w:r w:rsidRPr="00B166B0">
        <w:rPr>
          <w:sz w:val="24"/>
          <w:szCs w:val="24"/>
        </w:rPr>
        <w:t xml:space="preserve">Ključno uporište za kretanje makroekonomskih parametara u Bosni i Hercegovini u periodu 2021.2023. godina predstavlja poboljšanje eksternog okruženja. Međutim, kao što je ranije navedeno međunarodne finansijske institucije još uvijek nisu zvanično publikovale bilo koji </w:t>
      </w:r>
      <w:r w:rsidRPr="00B166B0">
        <w:rPr>
          <w:sz w:val="24"/>
          <w:szCs w:val="24"/>
        </w:rPr>
        <w:lastRenderedPageBreak/>
        <w:t>dokument koji bi kvantifikovao dužinu trajanja  Covid-2019 i ekonomska kretanja za period 2021-2023. godine. S tim u vezi, projekcije DEP-a za ovaj srednjoročni vremenski period zasnovane su na pretpostavci da je epidemija virusa  kratkotrajna pojava, odnosno da će biti prevaziđena u drugoj polovini 2020. godine. S toga, preduslov realizacije navedenih projekcija predstavlja prevazilaženje novonastalih okolnosti u kratkom roku, poboljšanje međunarodnog ekonomskog okruženja kako i implementacija strukturnih reformi u zemlji kako bi se ojačao doprinos internih dinamika u ekonomskom rastu u Bosne i Hercegovine. Pod pretpostavkom materijalizacije navedenih okolnosti prema projekcijama DEP-a u periodu 2021.-2023. godina u Bosni i Hercegovini se očekuje nastavak trenda ekonomskog rasta od oko 3% na godišnjem nivou (2021: 2,8%, 2022: 3,1% i 2023: 3,2%). Pretpostavlja se da bi ključni oslonac ekonomskog rasta tokom ovog perioda trebala predstavljati domaća tražnja. Naime, povećanje ukupne ekonomske aktivnosti u zemlji uz očekivano povećanja industrijske proizvodnje i građevinskih radova praćeno povećanjem broja zaposlenih i prihoda od izvoza trebalo bi rezultirati povećanjem raspoloživog dohotka građana a samim tim i  povećanjem privatne potrošnje koja će kao i prethodnih godina predstavljati ključni oslonac ekonomskog rasta. Tako se u periodu 2021. - 2023. godine očekuje prosječna stopa rasta privatne potrošnje od oko 2% (2021: 1,7%, 2022: 1,9%, 2023: 2,1%). S druge strane, imajući u vidu visok nivo javne potrošnje u okviru BDP-a u BiH i napore koji se ulažu kroz proces fiskalne konsolidacije u Bosni i Hercegovini tokom ovog perioda očekuje se postepena stabilizacija javnih finansija kroz smanjenje javnih rashoda i istovremeno povećanje javnih prihoda kako bi se ograničio rast javne potrošnje. Tako se u periodu 2021.-2023 očekuje tek blagi rast javne potrošnje od 0,6% na godišnjem nivou (2021: 0,5%, 2022: 0,7% i 2023: 0,5%). Ako se ima u vidu da bi tokom ovog perioda projicirana stopa ekonomskog rasta bila viša u odnosu na rast javne potrošnje, udio iste u BDP-u bi se djelimično smanjio kraj</w:t>
      </w:r>
      <w:r>
        <w:rPr>
          <w:sz w:val="24"/>
          <w:szCs w:val="24"/>
        </w:rPr>
        <w:t>em</w:t>
      </w:r>
      <w:r w:rsidRPr="00B166B0">
        <w:rPr>
          <w:sz w:val="24"/>
          <w:szCs w:val="24"/>
        </w:rPr>
        <w:t xml:space="preserve"> 2023. godine. U ovom vremenskom period očekuje se da bi mjerama fiskalne politike dio sredstava uštede po osnovu tekuće potrošnje trebao biti kanaliziran u svrhu jačanje investicione potrošnje u Bosni i Hercegovini. Samim tim, uz poboljšanje poslovnog ambijenta, investicije bi za razliku od prethodnih godine mogle imati značajniji rast a samim tim i veći doprinos u očekivanom rastu BDP-a. U periodu 2021.-2023. godine u Bosni i Hercegovini se  očekuje povećanje ukupnih investicija po prosječnoj godišnjoj stopi rasta od oko 7,5% (2021: 7,5%, 2022: 7,6%, 2023: 7,5%). U ovom vremenskom okviru pored povećanja privatnih investicija koje čine većinski dio ukupnih investicija (oko 80% ukupnih investicija) kao što je to i ranije navedeno očekuje se i značajniji doprinos javnih investicija. Smatra se da bi napredak u procesu evropskih integracija u kombinaciji sa unapređenjem poslovnog okruženja kroz reformske procese moglo povećati interes kako domaćih tako i stranih investitora za investiciona ulaganja u BiH. S druge strane, obzirom na strukturu i poziciju bh. ekonomije smatra se da će javne investicije predstavljati važnu polugu za podsticanje ekonomskog rasta u srednjem roku. Projekti u okviru izgradnje putne infrastrukture i energetski projekti, kao i raspoloživost sredstava kod međunarodnih finansijskih institucija bi uz adekvatnu i pravovremenu implementaciju istih mogli rezultirati godišnjim povećanjem javnih investicija od preko 10%. Tako bi u srednjoročnom vremenskom okviru nivo javnih investicija u okviru BDP-a u Bosni i Hercegovini bio povećan na oko 3,5% BDP-a  </w:t>
      </w:r>
    </w:p>
    <w:p w:rsidR="00D64E6A" w:rsidRDefault="00D64E6A" w:rsidP="00D64E6A">
      <w:pPr>
        <w:jc w:val="both"/>
        <w:rPr>
          <w:sz w:val="24"/>
          <w:szCs w:val="24"/>
        </w:rPr>
      </w:pPr>
      <w:r w:rsidRPr="00B166B0">
        <w:rPr>
          <w:sz w:val="24"/>
          <w:szCs w:val="24"/>
        </w:rPr>
        <w:lastRenderedPageBreak/>
        <w:t>Povoljnije eksterno okruženje uz unaprijeđenje industrijske baze i podizanje konkurentnosti predstavljaju preduslov poboljšanja vanjskotrgovinske razmjene sa svijetom. Samo pod uslovom materijalizacije navedenih eksternih  pretpostavki  u periodu 2021.-2023. godine može se očekivati</w:t>
      </w:r>
      <w:r>
        <w:rPr>
          <w:sz w:val="24"/>
          <w:szCs w:val="24"/>
        </w:rPr>
        <w:t xml:space="preserve"> </w:t>
      </w:r>
      <w:r w:rsidRPr="00B166B0">
        <w:rPr>
          <w:sz w:val="24"/>
          <w:szCs w:val="24"/>
        </w:rPr>
        <w:t>porast vanjskotrgovinske razmjene sa svijetom. U tom slučaju u Bosni i Hercegovini se može očekivati projsečni godišnji rast izvoza od oko 5,6% pri čemu bi projicirani rast roba i usluga bio prilično ujednačen. Tako bi tokom ovog perioda zahvaljujući ovom izvoznom rastu udio izvoza u BDP-u bio povećan na sa 40,5% u 2021. godini na oko 44% na kraju 2023. godine. S druge strane, očekuje se da bi se uvoz u ovom vremenskom periodu trebao kretati po nešto sporijoj godišnjoj stopi rasta od 4,3%. Tokom ovog perioda očekuje se prilično izbalansiran rast uvoza roba i rast uvoza usluga. Posljedica ovakvog kretanja uvoznog rasta udio uvoza bi bio povećan sa 53% BDP</w:t>
      </w:r>
      <w:r>
        <w:rPr>
          <w:sz w:val="24"/>
          <w:szCs w:val="24"/>
        </w:rPr>
        <w:t>-</w:t>
      </w:r>
      <w:r w:rsidRPr="00B166B0">
        <w:rPr>
          <w:sz w:val="24"/>
          <w:szCs w:val="24"/>
        </w:rPr>
        <w:t>a u 2021. godini  na oko 56,5% na kraju 2023. godine. Nešto snažniji rast izvoza u odnosu na rast uvoza u srednjem roku bi rezultirao postepenim smanjenjem vanjskotrgovinskog deficita odnosno neutralnim doprinosom ekonomskom rastu, dok bi pokrivenost uvoza izvozom zaključno sa 2023. godinom trebala iznositi oko 77%.</w:t>
      </w:r>
    </w:p>
    <w:p w:rsidR="00F9134A" w:rsidRDefault="00F9134A" w:rsidP="00D64E6A">
      <w:pPr>
        <w:jc w:val="both"/>
        <w:rPr>
          <w:sz w:val="24"/>
          <w:szCs w:val="24"/>
        </w:rPr>
      </w:pPr>
    </w:p>
    <w:p w:rsidR="00D64E6A" w:rsidRPr="00F9134A" w:rsidRDefault="00D64E6A" w:rsidP="00D64E6A">
      <w:pPr>
        <w:jc w:val="center"/>
        <w:rPr>
          <w:sz w:val="24"/>
          <w:szCs w:val="24"/>
          <w:u w:val="single"/>
        </w:rPr>
      </w:pPr>
      <w:r w:rsidRPr="00F9134A">
        <w:rPr>
          <w:sz w:val="24"/>
          <w:szCs w:val="24"/>
          <w:u w:val="single"/>
        </w:rPr>
        <w:t>Rizici</w:t>
      </w:r>
    </w:p>
    <w:p w:rsidR="00D64E6A" w:rsidRDefault="00D64E6A" w:rsidP="00D64E6A">
      <w:pPr>
        <w:jc w:val="both"/>
        <w:rPr>
          <w:sz w:val="24"/>
          <w:szCs w:val="24"/>
        </w:rPr>
      </w:pPr>
      <w:r w:rsidRPr="00B166B0">
        <w:rPr>
          <w:sz w:val="24"/>
          <w:szCs w:val="24"/>
        </w:rPr>
        <w:t xml:space="preserve"> Rizici za ostvarivanje navedenih projekcija se mogu klasifikovati u dvije grupe, i to na vanjske i unutrašnje, pri čemu su vanjski rizici dosta izvjesniji i utjecajniji na kretanje ekonomskog rasta u Bosni i Hercegovini. Pored činjenice da su raspoloživi izvještaji međunarodnih institucija najavljivali slabljenje ekonomske aktivnosti u eksternom okruženju, izbijanje globalne epidemije virusa Covid-2019 se nametnulo kao ultimativni primarni rizik po realizaciju ovih projekcija iz osnovnog scenarija. Preduslov za materijalizaciju navedenih projekcija makroekonomskih pokazatelje predstavlja prevazilaženje novonastalih izazova u što kraćem roku. S duge strane, prijetnju realizaciji ovih projekcija predstavljaju i unutrašnji izazovi odnosno unutrašnji rizici u Bosni i Hercegovini. </w:t>
      </w:r>
    </w:p>
    <w:p w:rsidR="00D64E6A" w:rsidRPr="00B166B0" w:rsidRDefault="00D64E6A" w:rsidP="00D64E6A">
      <w:pPr>
        <w:jc w:val="both"/>
        <w:rPr>
          <w:sz w:val="24"/>
          <w:szCs w:val="24"/>
        </w:rPr>
      </w:pPr>
      <w:r w:rsidRPr="00B166B0">
        <w:rPr>
          <w:sz w:val="24"/>
          <w:szCs w:val="24"/>
        </w:rPr>
        <w:t xml:space="preserve">Unutrašnje rizike predstavljaju složen sistem donošenja odluka i spor tempo provođenja ekonomskih reformi u zemlji. Eventualna kašnjenja u procesu formiranja vlasti i provođenju reformi bi se mogla negativno odraziti na planiranu dinamiku izvršenja javnih investicija što bi se sigurno odrazilo i na ukupni ekonomski rast. </w:t>
      </w:r>
    </w:p>
    <w:p w:rsidR="00D64E6A" w:rsidRDefault="00D64E6A" w:rsidP="00D64E6A">
      <w:pPr>
        <w:spacing w:line="276" w:lineRule="auto"/>
        <w:jc w:val="both"/>
        <w:rPr>
          <w:sz w:val="24"/>
          <w:szCs w:val="24"/>
        </w:rPr>
      </w:pPr>
      <w:r w:rsidRPr="00B166B0">
        <w:rPr>
          <w:sz w:val="24"/>
          <w:szCs w:val="24"/>
        </w:rPr>
        <w:t>Što se tiče rizika u srednjem roku za period 2021.-2023. godina, oni se odnose na migraciju stanovništva iz Bosne i Hercegovine posebno mladog, obrazovanog i kvalifikovanog kadra što bi moglo rezultirati smanjenjem produktivnosti i sporijim rastom BDP-a od projektovanog.</w:t>
      </w:r>
    </w:p>
    <w:p w:rsidR="00174215" w:rsidRPr="0036554F" w:rsidRDefault="00174215" w:rsidP="00D64E6A">
      <w:pPr>
        <w:spacing w:line="276" w:lineRule="auto"/>
        <w:jc w:val="both"/>
        <w:rPr>
          <w:sz w:val="18"/>
          <w:szCs w:val="24"/>
          <w:lang w:eastAsia="hr-BA"/>
        </w:rPr>
      </w:pPr>
      <w:r>
        <w:rPr>
          <w:b/>
          <w:bCs/>
          <w:sz w:val="24"/>
          <w:szCs w:val="24"/>
          <w:lang w:val="hr-HR" w:eastAsia="hr-HR"/>
        </w:rPr>
        <w:t xml:space="preserve">                  </w:t>
      </w:r>
    </w:p>
    <w:p w:rsidR="00575230" w:rsidRDefault="006A414D" w:rsidP="006A414D">
      <w:pPr>
        <w:pStyle w:val="Heading2"/>
        <w:rPr>
          <w:rFonts w:ascii="Times New Roman" w:hAnsi="Times New Roman"/>
          <w:color w:val="auto"/>
          <w:sz w:val="24"/>
          <w:szCs w:val="24"/>
        </w:rPr>
      </w:pPr>
      <w:bookmarkStart w:id="40" w:name="_Toc266710143"/>
      <w:bookmarkStart w:id="41" w:name="_Toc266710175"/>
      <w:bookmarkStart w:id="42" w:name="_Toc266777670"/>
      <w:bookmarkStart w:id="43" w:name="_Toc422899919"/>
      <w:r w:rsidRPr="00174215">
        <w:rPr>
          <w:rFonts w:ascii="Times New Roman" w:hAnsi="Times New Roman"/>
          <w:color w:val="auto"/>
          <w:sz w:val="24"/>
          <w:szCs w:val="24"/>
        </w:rPr>
        <w:t>1.2</w:t>
      </w:r>
      <w:r w:rsidRPr="005F0507">
        <w:rPr>
          <w:color w:val="auto"/>
          <w:sz w:val="28"/>
        </w:rPr>
        <w:t xml:space="preserve"> </w:t>
      </w:r>
      <w:r w:rsidR="00A160CE" w:rsidRPr="00174215">
        <w:rPr>
          <w:rFonts w:ascii="Times New Roman" w:hAnsi="Times New Roman"/>
          <w:color w:val="auto"/>
          <w:sz w:val="24"/>
          <w:szCs w:val="24"/>
        </w:rPr>
        <w:t>Industrijska proizvodnja</w:t>
      </w:r>
      <w:bookmarkEnd w:id="40"/>
      <w:bookmarkEnd w:id="41"/>
      <w:bookmarkEnd w:id="42"/>
      <w:bookmarkEnd w:id="43"/>
    </w:p>
    <w:p w:rsidR="00D64E6A" w:rsidRDefault="00D64E6A" w:rsidP="00D64E6A">
      <w:pPr>
        <w:spacing w:line="276" w:lineRule="auto"/>
        <w:jc w:val="both"/>
        <w:rPr>
          <w:sz w:val="24"/>
          <w:szCs w:val="24"/>
        </w:rPr>
      </w:pPr>
      <w:r w:rsidRPr="00CA212D">
        <w:rPr>
          <w:sz w:val="24"/>
          <w:szCs w:val="24"/>
        </w:rPr>
        <w:t xml:space="preserve">Statistički podaci BHAS-a za  2019. godine ukazuje na to da je  Bosna i Hercegovina nakon dugo godina, zabilježila izrazito nepovoljan rezultat kada je u pitanju kretanje fizičkog obima industrijske proizvodnje. Naime, prema preliminarnim podacima BHAS-a za 2019. godinu Bosna i Hercegovina je zabilježila pad fizičkog obima industrijske proizvodnje od 5,5% u odnosu na prethodnu godinu. Ovo smanjenje fizičkog obima industrijske proizvodnje predstavlja najznačajniji pad proizvodnje još od vremena svjetske ekonomske krize. Ključne razloge za ovakva kretanja u okviru industrijske proizvodnje u Bosni i Hercegovini predstavljaju  usporavanje  privredne aktivnosti u glavnim trgovinskim partnerima kao i izazovi sa kojima se susreću domaće kompanije u pojedinim privrednim granama. Naime, prema podacima EUROSTATA-a u 2019. godine došlo je do smanjenja fizičkog obima industrijske proizvodnje u </w:t>
      </w:r>
      <w:r w:rsidRPr="00CA212D">
        <w:rPr>
          <w:sz w:val="24"/>
          <w:szCs w:val="24"/>
        </w:rPr>
        <w:lastRenderedPageBreak/>
        <w:t>zemljama EU28 od 0,8%. Posmatrano po zemljama, najznačajnija smanjenja fizičkog obima industrijske proizvodnje su zabilježena u Njemčkoj 4,7%, Italiji 1,2%, kao i zemljama regiona Crna Gora 7,6%, Turska 1,5% i Srbija 0,2%.6 Pregled kretanja industrijske proizvodnje po sektorima u Bosni i Hercegovini se</w:t>
      </w:r>
      <w:r>
        <w:rPr>
          <w:sz w:val="24"/>
          <w:szCs w:val="24"/>
        </w:rPr>
        <w:t xml:space="preserve"> </w:t>
      </w:r>
      <w:r w:rsidRPr="00A86D5D">
        <w:rPr>
          <w:sz w:val="24"/>
          <w:szCs w:val="24"/>
        </w:rPr>
        <w:t xml:space="preserve">značajnije ne razlikuje od kretanja ukupne industrijske proizvodnje u Bosni i Hercegovini, pošto je pad proizvodnje zabilježen u okviru svih sektora. Tako je najviša stopa pada proizvodnje zabilježena u okviru sektora za proizvodnju električne energije i iznosila je 8,2% u odnosu na prethodnu godinu. Pad proizvodnje električne energije je posljedica podjednakog smanjenja proizvodnje kako u hidroelektranama, tako i u termoelektranama. Pored pada  u proizvodnji električne energije, tokom 2019. godine registrirano je i smanjenje proizvodnje u okviru sektora rudarstvo od 3,7%, što je ponajviše posljedica smanjenja proizvodnje u rudnicima uglja i lignita od oko  7,3% u odnosu na isti period prethodne. </w:t>
      </w:r>
    </w:p>
    <w:p w:rsidR="00D64E6A" w:rsidRPr="00A86D5D" w:rsidRDefault="00D64E6A" w:rsidP="00D64E6A">
      <w:pPr>
        <w:spacing w:line="276" w:lineRule="auto"/>
        <w:jc w:val="both"/>
        <w:rPr>
          <w:sz w:val="24"/>
          <w:szCs w:val="24"/>
        </w:rPr>
      </w:pPr>
      <w:r w:rsidRPr="00A86D5D">
        <w:rPr>
          <w:sz w:val="24"/>
          <w:szCs w:val="24"/>
        </w:rPr>
        <w:t>S druge strane, u okviru izvozno orijentirane prerađivačke industrije tokom 2019. godine  došlo je do smanjena proizvodnje od 5% u odnosu na prethodnu godinu. Ovaj pad proizvodnje u okviru prerađivačke industrije uzrokovan je usporavanjem ekonomske aktivnosti u glavnim trgovinskim partnerima, odnosno slabljenjem izvozne tražnje za proizvodima iz Bosne i Hercegovine. Detaljnijim uvidom u strukturu prerađivačke industrije vidljivo je da su tokom  2019. godine najznačajnija smanjenja proizvodnje zabilježena u okviru izvozno orijentiranih grana kao što su: naftni derivati i koks, proizvodnje tekstila i duhanske proizvodnje gdje su registrirane dvocifrene stope pada proizvodnje. Pored ovih industrijskih grana smanjenja proizvodnje su zabilježena i u okviru proizvodnje hemikalija i hemijskih proizvoda, drvoprerade (osim namještaja), kože,  te proizvodnje baznih metala od oko 10% respektivno u odnosu na isti period prethodne godine. S druge strane, povećanja proizvodnje u okviru prehambene industrije i građevinskog materijala od oko 4,7%, kao i drugih industrijskih grana nisu bili dovoljni da bi se spriječio pad proizvodnje u okviru prerađivačke industrije odnosno ukupne industrijske proizvodnje u odnosu na prethodnu godinu.</w:t>
      </w:r>
    </w:p>
    <w:p w:rsidR="00D64E6A" w:rsidRDefault="00D64E6A" w:rsidP="00D64E6A">
      <w:pPr>
        <w:spacing w:line="276" w:lineRule="auto"/>
        <w:jc w:val="both"/>
        <w:rPr>
          <w:sz w:val="24"/>
          <w:szCs w:val="24"/>
        </w:rPr>
      </w:pPr>
      <w:r w:rsidRPr="00A86D5D">
        <w:rPr>
          <w:sz w:val="24"/>
          <w:szCs w:val="24"/>
        </w:rPr>
        <w:t>Projekcije kretanja industrijske proizvodnje u Bosni i Hercegovini u 2020. godini trenutno  je vrlo teško predvidjeti obzirom da je ista i tokom prethodne godine pokazala vidljive slabosti koje su se manifestovala padom fizičkog obima proizvodnje. Pored ovoga, neizvjesnost uzrokovana novonastalim okolnostima - pojavom epidemije virusa Covid-2019 dodatno usložnjava izradu projekcija kretanja fizičkog obima industrijske proizvodnje u Bosni i Hercegovini. Te</w:t>
      </w:r>
      <w:r>
        <w:rPr>
          <w:sz w:val="24"/>
          <w:szCs w:val="24"/>
        </w:rPr>
        <w:t>h</w:t>
      </w:r>
      <w:r w:rsidRPr="00A86D5D">
        <w:rPr>
          <w:sz w:val="24"/>
          <w:szCs w:val="24"/>
        </w:rPr>
        <w:t>nološka struktura proizvodne baze, kao i njena visoka ovisnost o kretanjima na tržištima glavnih trgovinskih partnera  u prethodnom periodu pokazala je sve ranjivosti industrije a naročito prerađivačke industrije u Bosni i Hercegovini. S toga će privredna kretanja u okviru glavnih trgovinskih partnera u 2020. godini u najvećoj mjeri odrediti kretanje fizičkog obima proizvodnje, broja zaposlenih i nivo investicionih ulaganja u okviru industrijskog sektora u Bosni i Hercegovini. Podatak BHASa o stagnaciji  fizičkog obima industrijske proizvodnje u Bosni i Hercegovini u periodu januar</w:t>
      </w:r>
      <w:r>
        <w:rPr>
          <w:sz w:val="24"/>
          <w:szCs w:val="24"/>
        </w:rPr>
        <w:t>-</w:t>
      </w:r>
      <w:r w:rsidRPr="00A86D5D">
        <w:rPr>
          <w:sz w:val="24"/>
          <w:szCs w:val="24"/>
        </w:rPr>
        <w:t xml:space="preserve">februar  2020. godine od -0,5% u odnosu na isti mjesec prethodne godine nije dovoljan da bi se odredio dalji trend kretanja proizvodnje do kraja godine. Vrijedi između ostalog da je tokom ovog perioda zabilježen pad proizvodnje u okviru prerađivačke industrije od preko 3%. S druge strane, treba također imati u vidu da je ova stopa rasta djelimično i posljedica izraženog baznog efekta iz prošle godine kada je u Bosni i Hercegovini zabilježen </w:t>
      </w:r>
      <w:r w:rsidRPr="00A86D5D">
        <w:rPr>
          <w:sz w:val="24"/>
          <w:szCs w:val="24"/>
        </w:rPr>
        <w:lastRenderedPageBreak/>
        <w:t>pad fizičkog obima industrijske proizvodnje. Imajući u vidu navedena međunarodna kretanja i strukturalnu kompoziciju industrijske proizvodnje u Bosni i Hercegovini na kraju 2020. godine se može očekivati pad fizičkog obima industrijske proizvodnje.</w:t>
      </w:r>
    </w:p>
    <w:p w:rsidR="00D64E6A" w:rsidRDefault="00D64E6A" w:rsidP="00D64E6A">
      <w:pPr>
        <w:spacing w:line="276" w:lineRule="auto"/>
        <w:jc w:val="both"/>
        <w:rPr>
          <w:sz w:val="24"/>
          <w:szCs w:val="24"/>
        </w:rPr>
      </w:pPr>
    </w:p>
    <w:p w:rsidR="00D64E6A" w:rsidRPr="00B057CF" w:rsidRDefault="00D64E6A" w:rsidP="00D64E6A">
      <w:pPr>
        <w:spacing w:line="276" w:lineRule="auto"/>
        <w:jc w:val="center"/>
        <w:rPr>
          <w:sz w:val="24"/>
          <w:szCs w:val="24"/>
          <w:u w:val="single"/>
        </w:rPr>
      </w:pPr>
      <w:r w:rsidRPr="00B057CF">
        <w:rPr>
          <w:sz w:val="24"/>
          <w:szCs w:val="24"/>
          <w:u w:val="single"/>
        </w:rPr>
        <w:t>Projekcija kretanja industrijske proizvodnje za period 2021-2023. godina</w:t>
      </w:r>
    </w:p>
    <w:p w:rsidR="00D64E6A" w:rsidRDefault="00D64E6A" w:rsidP="00D64E6A">
      <w:pPr>
        <w:spacing w:line="276" w:lineRule="auto"/>
        <w:jc w:val="both"/>
        <w:rPr>
          <w:sz w:val="24"/>
          <w:szCs w:val="24"/>
        </w:rPr>
      </w:pPr>
      <w:r w:rsidRPr="00B057CF">
        <w:rPr>
          <w:sz w:val="24"/>
          <w:szCs w:val="24"/>
        </w:rPr>
        <w:t>Kretanje fizičkog obima industrijske proizvodnje u srednjem roku uglavnom će zavisti od privrednih kretanja na tržištima glavnih trgovinskih partnera kao što je to bio slučaj i u dosadašnjem periodu. Ukoliko posljedice novonastalih okolnosti (pandemija Covid-19) budu sanirane u kraćem roku tokom ovog perioda u Bosni i Hercegovini se može očekivat  osjetniji ekonomski napredak u okviru kojeg bi dešavanja u industrijske proizvodnje trebala imati centralnu ulogu. Pored povoljnih ektsternih prilika u ovom srednjoročnom vremenskom okviru se očekuje i značajniji utjecaj internih dinamika u funkciji jačanja industrijske proizvodnje u Bosni i Hercegovini. Naime, tokom ovog perioda očekuje se da bi reformske mjere na unaprijeđenju poslovnog ambijenta koje provode nadležne institucije u Bosni i Hercegovini trebale polučiti mjerljive rezultate. Poboljšanje poslovnog ambijenta trebalo bi rezultirati povećanjem investicionih ulaganja (domaćih i inostranih), veću iskorištenost postojećih i pokretanje novih kapaciteta, povećanje broja zaposlenih i jačanje konkurentske pozicije bh. proizvođača kako na domaćem tako i na inostranim tržištima. Imajući u vidu sve navedene okolnosti tokom ovog  perioda očekuje se da bi Bosna i Hercegovina uperiodu 2021.-2023. godina trebala ostvarivati  nešto više stope rasta fizičkog obima industrijske proizvodnje.</w:t>
      </w:r>
    </w:p>
    <w:p w:rsidR="00D64E6A" w:rsidRDefault="00D64E6A" w:rsidP="00D64E6A">
      <w:pPr>
        <w:rPr>
          <w:lang w:val="en-US"/>
        </w:rPr>
      </w:pPr>
    </w:p>
    <w:p w:rsidR="00C75145" w:rsidRPr="00C75145" w:rsidRDefault="006A414D" w:rsidP="00C75145">
      <w:pPr>
        <w:pStyle w:val="Heading2"/>
      </w:pPr>
      <w:bookmarkStart w:id="44" w:name="_Toc422899920"/>
      <w:r w:rsidRPr="002661B1">
        <w:rPr>
          <w:rFonts w:ascii="Times New Roman" w:hAnsi="Times New Roman"/>
          <w:color w:val="auto"/>
          <w:sz w:val="24"/>
          <w:szCs w:val="24"/>
        </w:rPr>
        <w:t>1.3</w:t>
      </w:r>
      <w:r w:rsidR="002661B1">
        <w:rPr>
          <w:rFonts w:ascii="Times New Roman" w:hAnsi="Times New Roman"/>
          <w:color w:val="auto"/>
          <w:sz w:val="24"/>
          <w:szCs w:val="24"/>
        </w:rPr>
        <w:t>.</w:t>
      </w:r>
      <w:r w:rsidRPr="005F0507">
        <w:rPr>
          <w:color w:val="auto"/>
          <w:sz w:val="28"/>
        </w:rPr>
        <w:t xml:space="preserve"> </w:t>
      </w:r>
      <w:r w:rsidR="001D673C" w:rsidRPr="002661B1">
        <w:rPr>
          <w:rFonts w:ascii="Times New Roman" w:hAnsi="Times New Roman"/>
          <w:color w:val="auto"/>
          <w:sz w:val="24"/>
          <w:szCs w:val="24"/>
        </w:rPr>
        <w:t>Tržište rada</w:t>
      </w:r>
      <w:bookmarkEnd w:id="44"/>
    </w:p>
    <w:p w:rsidR="00A35E9C" w:rsidRDefault="00A35E9C" w:rsidP="00A35E9C">
      <w:pPr>
        <w:jc w:val="both"/>
        <w:rPr>
          <w:sz w:val="24"/>
          <w:szCs w:val="24"/>
          <w:lang w:val="en-US" w:eastAsia="hr-HR"/>
        </w:rPr>
      </w:pPr>
      <w:r w:rsidRPr="00B057CF">
        <w:rPr>
          <w:sz w:val="24"/>
          <w:szCs w:val="24"/>
          <w:lang w:val="en-US" w:eastAsia="hr-HR"/>
        </w:rPr>
        <w:t>Prosječan broj zaposlenih lica u I-XII 2019. godine uvećan je za 2,6% u odnosu na 2018. godinu i iznosi 823,1 hiljada. Najveći doprinos rastu broja zaposlenih lica bio je u oblasti trgovine, hotelijerstva i ugostiteljstva te prerađivačke industrije. Međutim, stopa rasta broja zaposlenih u prerađivačkoj industriji bila je sporija u poređenju sa 2018. godinom što može biti posljedica smanjenja obima proizvodnje. U oblasti usluga značajan rast broja zaposlenih lica bio je i u djelatnosti pružanja smještaja te pripreme i usluživanja hrane uz povećanje posjeta i noćenja u Bosni i Hercegovini. Prosječan broj registrovanih nezaposlenih lica je iznosio 411,2 hiljada što je za 9% manje u odnosu na 2018. godinu.</w:t>
      </w:r>
      <w:r>
        <w:rPr>
          <w:sz w:val="24"/>
          <w:szCs w:val="24"/>
          <w:lang w:val="en-US" w:eastAsia="hr-HR"/>
        </w:rPr>
        <w:t xml:space="preserve"> </w:t>
      </w:r>
      <w:r w:rsidRPr="00B057CF">
        <w:rPr>
          <w:sz w:val="24"/>
          <w:szCs w:val="24"/>
          <w:lang w:val="en-US" w:eastAsia="hr-HR"/>
        </w:rPr>
        <w:t>Intenzitet smanjenja broja registrovanih nezaposlenih lica bio je veći u poređenju sa 2018. godinom. Anketna stopa nezaposlenosti u Bosni i Hercegovini u 2019. godini je smanjena i iznosi 15,7%. Prosječna neto plata u Bosni i Hercegovini u 2019. godini iznosila je 921 KM uz nominalni rast od 4,8% u odnosu na 2018. godinu.</w:t>
      </w:r>
    </w:p>
    <w:p w:rsidR="00A35E9C" w:rsidRPr="00B057CF" w:rsidRDefault="00A35E9C" w:rsidP="00A35E9C">
      <w:pPr>
        <w:jc w:val="center"/>
        <w:rPr>
          <w:sz w:val="24"/>
          <w:szCs w:val="24"/>
          <w:u w:val="single"/>
          <w:lang w:val="en-US" w:eastAsia="hr-HR"/>
        </w:rPr>
      </w:pPr>
      <w:r w:rsidRPr="00B057CF">
        <w:rPr>
          <w:sz w:val="24"/>
          <w:szCs w:val="24"/>
          <w:u w:val="single"/>
          <w:lang w:val="en-US" w:eastAsia="hr-HR"/>
        </w:rPr>
        <w:t>Projekcije 2020-2023. godine</w:t>
      </w:r>
    </w:p>
    <w:p w:rsidR="00A35E9C" w:rsidRDefault="00A35E9C" w:rsidP="00A35E9C">
      <w:pPr>
        <w:jc w:val="both"/>
        <w:rPr>
          <w:sz w:val="24"/>
          <w:szCs w:val="24"/>
          <w:lang w:val="en-US" w:eastAsia="hr-HR"/>
        </w:rPr>
      </w:pPr>
      <w:r w:rsidRPr="00B057CF">
        <w:rPr>
          <w:sz w:val="24"/>
          <w:szCs w:val="24"/>
          <w:lang w:val="en-US" w:eastAsia="hr-HR"/>
        </w:rPr>
        <w:t xml:space="preserve"> Iako u periodu pripreme projekcija nisu raspoloživi podaci za prvi kvartal 2020. godine, novonastala pandemije virusa COVID-19 zasigurno će imati veliki uticaj i na tržište rada. Preliminarni podaci o broju zaposlenih lica u Bosni i Hercegovini u januaru 2020. godine ukazuju na rast broja zaposlenih lica od 2,5% g/g, uz smanjenje broja registrovanih nezaposlenih lica od</w:t>
      </w:r>
      <w:r>
        <w:rPr>
          <w:sz w:val="24"/>
          <w:szCs w:val="24"/>
          <w:lang w:val="en-US" w:eastAsia="hr-HR"/>
        </w:rPr>
        <w:t xml:space="preserve"> </w:t>
      </w:r>
      <w:r w:rsidRPr="00B057CF">
        <w:rPr>
          <w:sz w:val="24"/>
          <w:szCs w:val="24"/>
          <w:lang w:val="en-US" w:eastAsia="hr-HR"/>
        </w:rPr>
        <w:t xml:space="preserve">6,3% g/g. Prosječna neto plata u januaru 2020. godine iznosila je 945 KM i veća je nominalno za 3,5% g/g. Međutim, od marta 2020. godine mogu se očekivati naznake uticaja pandemije na tržište rada. Trenutno raspoloživi podaci Porezne uprave Federacije Bosne i Hercegovine pokazuju prve znake uticaja pandemije na tržište rada. Prema službenim </w:t>
      </w:r>
      <w:r w:rsidRPr="00B057CF">
        <w:rPr>
          <w:sz w:val="24"/>
          <w:szCs w:val="24"/>
          <w:lang w:val="en-US" w:eastAsia="hr-HR"/>
        </w:rPr>
        <w:lastRenderedPageBreak/>
        <w:t>evidencijama iz Jedinstvenog sistema registracije, kontrole i naplate doprinosa, broj zaposlenih u Federaciji Bosne i Hercegovine prema prebivalištu zaposlenika na dan 31.03.2020. godine iznosio je 528.476 i isti je manji u odnosu na broj od 29.02.2020. godine za 3.474 zaposlenih (-0,7%). U istom obavještenju se takođe navodi da je broj zaposlenih lica već početkom aprila na dan 03.04.2020. godine ponovo smanjen i iznosio je 520.641 (što je -1,5% u odnosu kraj marta 2020).</w:t>
      </w:r>
    </w:p>
    <w:p w:rsidR="00A35E9C" w:rsidRPr="00B057CF" w:rsidRDefault="00A35E9C" w:rsidP="00A35E9C">
      <w:pPr>
        <w:jc w:val="both"/>
        <w:rPr>
          <w:sz w:val="24"/>
          <w:szCs w:val="24"/>
          <w:lang w:val="en-US" w:eastAsia="hr-HR"/>
        </w:rPr>
      </w:pPr>
      <w:r w:rsidRPr="00B057CF">
        <w:rPr>
          <w:sz w:val="24"/>
          <w:szCs w:val="24"/>
          <w:lang w:val="en-US" w:eastAsia="hr-HR"/>
        </w:rPr>
        <w:t>Zasigurno da će prve znake krize osjetiti zaposleni u uslužnim djelatnostima. Zbog očekivanog smanjenja obima poslovne aktivnosti koji proizilazi iz krize izazvane COVID-19 u oblastima turizma (smanjenje broja posjeta i noćenja) a potom ugostiteljstva, hotelijerstva, zabave, rekreacije i kulture može se očekivati da broj zaposlenih lica u pomenutim djelatnostima bude niži u odnosu na prethodnu godinu. Pored ovih djelatnosti, u izradi projekcija za tržište rada značajan uticaj će imati kretanje obima investicija, trgovine i uopšte ekonomski rast</w:t>
      </w:r>
      <w:r>
        <w:rPr>
          <w:sz w:val="24"/>
          <w:szCs w:val="24"/>
          <w:lang w:val="en-US" w:eastAsia="hr-HR"/>
        </w:rPr>
        <w:t>.</w:t>
      </w:r>
      <w:r w:rsidRPr="00B057CF">
        <w:rPr>
          <w:sz w:val="24"/>
          <w:szCs w:val="24"/>
          <w:lang w:val="en-US" w:eastAsia="hr-HR"/>
        </w:rPr>
        <w:t xml:space="preserve"> Zbog toga su u izradi projekcija uzeta u obzir prethodno opisana dešavanja u oblastima prerađivačke industrije i trgovine u 2020. godini koje zapošljavaju najveći broj lica u Bosni i Hercegovini (oko 39%). Sve navedene promjene bi se negativno odrazile na ukupan broj zaposlenih lica u Bosni i Hercegovini koji bi u 2020. godini mogao biti manji oko 1% g/g što bi uticalo na rast stope nezaposlenosti.</w:t>
      </w:r>
      <w:r>
        <w:rPr>
          <w:sz w:val="24"/>
          <w:szCs w:val="24"/>
          <w:lang w:val="en-US" w:eastAsia="hr-HR"/>
        </w:rPr>
        <w:t xml:space="preserve"> </w:t>
      </w:r>
      <w:r w:rsidRPr="00B057CF">
        <w:rPr>
          <w:sz w:val="24"/>
          <w:szCs w:val="24"/>
          <w:lang w:val="en-US" w:eastAsia="hr-HR"/>
        </w:rPr>
        <w:t xml:space="preserve">Istovremeno, pomenuta ekonomska kretanja i lošija poslovna klima mogla bi nepovoljno uticati na zarade radnika u Bosni i Hercegovini, odnosno smanjiti godišnju stopu rasta neto plata u odnosu na prethodnu godinu oko 1% g/g </w:t>
      </w:r>
    </w:p>
    <w:p w:rsidR="00A35E9C" w:rsidRDefault="00A35E9C" w:rsidP="00A35E9C">
      <w:pPr>
        <w:jc w:val="both"/>
        <w:rPr>
          <w:sz w:val="24"/>
          <w:szCs w:val="24"/>
          <w:lang w:val="en-US" w:eastAsia="hr-HR"/>
        </w:rPr>
      </w:pPr>
      <w:r w:rsidRPr="00C46D9C">
        <w:rPr>
          <w:sz w:val="24"/>
          <w:szCs w:val="24"/>
          <w:u w:val="single"/>
          <w:lang w:val="en-US" w:eastAsia="hr-HR"/>
        </w:rPr>
        <w:t>Izrada srednjoročnog scenarija 2021-2023. godine</w:t>
      </w:r>
      <w:r w:rsidRPr="00B057CF">
        <w:rPr>
          <w:sz w:val="24"/>
          <w:szCs w:val="24"/>
          <w:lang w:val="en-US" w:eastAsia="hr-HR"/>
        </w:rPr>
        <w:t xml:space="preserve"> u oblasti tržišta rada bazirana je na očekivanom ekonomskom rastu i njegovim osnovnim komponentama u posmatranom periodu od strane DEPa, odnosno na nivou potražnje, trgovine i investicija</w:t>
      </w:r>
      <w:r>
        <w:rPr>
          <w:sz w:val="24"/>
          <w:szCs w:val="24"/>
          <w:lang w:val="en-US" w:eastAsia="hr-HR"/>
        </w:rPr>
        <w:t>.</w:t>
      </w:r>
      <w:r w:rsidRPr="00B057CF">
        <w:rPr>
          <w:sz w:val="24"/>
          <w:szCs w:val="24"/>
          <w:lang w:val="en-US" w:eastAsia="hr-HR"/>
        </w:rPr>
        <w:t xml:space="preserve"> Evropska centralna banka (u daljem tekstu ECB) u svojim projekcijama (12. mart 2020) predviđa u 2021. godini rast broja zaposlenih lica u eurozoni od 0,3% g/g odnosno 0,4% g/g u 2022. godini. U 2021. godini se očekuje jednaka stopa nezaposlenosti u eurozoni od 7,6% u odnosu na prethodnu godinu koja bi se u 2022. godini počela postepeno smanjivati. Prema projekcijama DEP-a u 2021. godini se očekuje pozitivan ekonomski rast od 2,8% g/g u Bosni i Hercegovini. Pored toga, rast investicija i trgovine u Bosni i Hercegovini bi se trebao pozitivno odraziti na broj zaposlenih lica naročito u sektorima koji su i prethodnih godina zapošljavali najviše lica u Bosni i Hercegovini. Uz bolje poslovne prilike u oblasti indutrije, trgovne ali i pojedinih uslužnih djelatnosti stvorili bi se realni uslovi za rast broja zaposlenih lica u posmatranim djelatnostima. Kao i prethodnih godina, očekuje se da bi doprinos rastu broja zaposlenih mogao biti skromniji u</w:t>
      </w:r>
      <w:r>
        <w:rPr>
          <w:sz w:val="24"/>
          <w:szCs w:val="24"/>
          <w:lang w:val="en-US" w:eastAsia="hr-HR"/>
        </w:rPr>
        <w:t xml:space="preserve"> </w:t>
      </w:r>
      <w:r w:rsidRPr="00B057CF">
        <w:rPr>
          <w:sz w:val="24"/>
          <w:szCs w:val="24"/>
          <w:lang w:val="en-US" w:eastAsia="hr-HR"/>
        </w:rPr>
        <w:t>javnom13 sektoru u odnosu na ostala područja djelatnosti. Pored toga, broj zaposlenih lica u oblasti uslužnih djelatnosti koje su u 2020. godini bile pogođene krizom mogao bi ponovo početi da se uvećava. Generalno, uz bolju poslovnu klimu, kako u Bosni i Hercegovini tako i u okruženju i zemljama EU, očekuje se povećanje broja zaposlenih lica u periodu 2021-2023. godine od 1,52,3% g/g uz istovremeno smanjenje broja nezaposlenih lica, ali i nastavak uvećanja neto plata od 2%-3% g/g. Međutim, pretpostavljeni rizici će bitno determinisati rast broja zaposlenih lica ali i neto plate u periodu na koji se odnose projekcije.</w:t>
      </w:r>
    </w:p>
    <w:p w:rsidR="00A35E9C" w:rsidRDefault="00A35E9C" w:rsidP="00A35E9C">
      <w:pPr>
        <w:jc w:val="both"/>
        <w:rPr>
          <w:sz w:val="24"/>
          <w:szCs w:val="24"/>
          <w:lang w:val="en-US" w:eastAsia="hr-HR"/>
        </w:rPr>
      </w:pPr>
    </w:p>
    <w:p w:rsidR="00A35E9C" w:rsidRDefault="00A35E9C" w:rsidP="00A35E9C">
      <w:pPr>
        <w:jc w:val="both"/>
        <w:rPr>
          <w:sz w:val="24"/>
          <w:szCs w:val="24"/>
          <w:lang w:val="en-US" w:eastAsia="hr-HR"/>
        </w:rPr>
      </w:pPr>
    </w:p>
    <w:p w:rsidR="00A35E9C" w:rsidRDefault="00A35E9C" w:rsidP="00A35E9C">
      <w:pPr>
        <w:jc w:val="both"/>
        <w:rPr>
          <w:sz w:val="24"/>
          <w:szCs w:val="24"/>
          <w:lang w:val="en-US" w:eastAsia="hr-HR"/>
        </w:rPr>
      </w:pPr>
    </w:p>
    <w:p w:rsidR="00A35E9C" w:rsidRDefault="00A35E9C" w:rsidP="00A35E9C">
      <w:pPr>
        <w:jc w:val="both"/>
        <w:rPr>
          <w:sz w:val="24"/>
          <w:szCs w:val="24"/>
          <w:lang w:val="en-US" w:eastAsia="hr-HR"/>
        </w:rPr>
      </w:pPr>
    </w:p>
    <w:p w:rsidR="00A35E9C" w:rsidRDefault="00A35E9C" w:rsidP="00A35E9C">
      <w:pPr>
        <w:jc w:val="both"/>
        <w:rPr>
          <w:sz w:val="24"/>
          <w:szCs w:val="24"/>
          <w:lang w:val="en-US" w:eastAsia="hr-HR"/>
        </w:rPr>
      </w:pPr>
    </w:p>
    <w:p w:rsidR="00A35E9C" w:rsidRDefault="00A35E9C" w:rsidP="00A35E9C">
      <w:pPr>
        <w:jc w:val="both"/>
        <w:rPr>
          <w:sz w:val="24"/>
          <w:szCs w:val="24"/>
          <w:lang w:val="en-US" w:eastAsia="hr-HR"/>
        </w:rPr>
      </w:pPr>
    </w:p>
    <w:p w:rsidR="00A35E9C" w:rsidRDefault="00A35E9C" w:rsidP="00A35E9C">
      <w:pPr>
        <w:jc w:val="both"/>
        <w:rPr>
          <w:sz w:val="24"/>
          <w:szCs w:val="24"/>
          <w:lang w:val="en-US" w:eastAsia="hr-HR"/>
        </w:rPr>
      </w:pPr>
    </w:p>
    <w:p w:rsidR="00A35E9C" w:rsidRDefault="00A35E9C" w:rsidP="00A35E9C">
      <w:pPr>
        <w:jc w:val="both"/>
        <w:rPr>
          <w:sz w:val="24"/>
          <w:szCs w:val="24"/>
          <w:lang w:val="en-US" w:eastAsia="hr-HR"/>
        </w:rPr>
      </w:pPr>
    </w:p>
    <w:p w:rsidR="00A35E9C" w:rsidRDefault="00A35E9C" w:rsidP="00A35E9C">
      <w:pPr>
        <w:jc w:val="both"/>
        <w:rPr>
          <w:sz w:val="24"/>
          <w:szCs w:val="24"/>
          <w:lang w:val="en-US" w:eastAsia="hr-HR"/>
        </w:rPr>
      </w:pPr>
    </w:p>
    <w:p w:rsidR="00A35E9C" w:rsidRDefault="00A35E9C" w:rsidP="00A35E9C">
      <w:pPr>
        <w:jc w:val="both"/>
        <w:rPr>
          <w:sz w:val="24"/>
          <w:szCs w:val="24"/>
          <w:lang w:val="en-US" w:eastAsia="hr-HR"/>
        </w:rPr>
      </w:pPr>
    </w:p>
    <w:p w:rsidR="00A35E9C" w:rsidRDefault="00A35E9C" w:rsidP="00A35E9C">
      <w:pPr>
        <w:jc w:val="both"/>
        <w:rPr>
          <w:sz w:val="24"/>
          <w:szCs w:val="24"/>
          <w:lang w:val="en-US" w:eastAsia="hr-HR"/>
        </w:rPr>
      </w:pPr>
    </w:p>
    <w:p w:rsidR="002661B1" w:rsidRDefault="002661B1" w:rsidP="002661B1">
      <w:pPr>
        <w:rPr>
          <w:lang w:val="en-US"/>
        </w:rPr>
      </w:pPr>
    </w:p>
    <w:p w:rsidR="00A35E9C" w:rsidRPr="005B6ACD" w:rsidRDefault="00A35E9C" w:rsidP="00A35E9C">
      <w:pPr>
        <w:rPr>
          <w:b/>
          <w:iCs/>
          <w:sz w:val="24"/>
          <w:szCs w:val="24"/>
          <w:lang w:val="bs-Latn-BA"/>
        </w:rPr>
      </w:pPr>
      <w:r w:rsidRPr="005B6ACD">
        <w:rPr>
          <w:b/>
          <w:iCs/>
          <w:sz w:val="24"/>
          <w:szCs w:val="24"/>
          <w:lang w:val="bs-Latn-BA"/>
        </w:rPr>
        <w:t>Procjena prisutnog stanovništva i stopa zaposlenosti i nezaposlenosti</w:t>
      </w:r>
      <w:r>
        <w:rPr>
          <w:b/>
          <w:iCs/>
          <w:sz w:val="24"/>
          <w:szCs w:val="24"/>
          <w:lang w:val="bs-Latn-BA"/>
        </w:rPr>
        <w:t xml:space="preserve"> </w:t>
      </w:r>
      <w:r w:rsidRPr="005B6ACD">
        <w:rPr>
          <w:b/>
          <w:iCs/>
          <w:sz w:val="24"/>
          <w:szCs w:val="24"/>
          <w:lang w:val="bs-Latn-BA"/>
        </w:rPr>
        <w:t>u Unsko-sanskom kantonu po gradovima/općinama</w:t>
      </w:r>
      <w:r>
        <w:rPr>
          <w:b/>
          <w:iCs/>
          <w:sz w:val="24"/>
          <w:szCs w:val="24"/>
          <w:lang w:val="bs-Latn-BA"/>
        </w:rPr>
        <w:t xml:space="preserve"> (mart 2020.godine)</w:t>
      </w:r>
    </w:p>
    <w:tbl>
      <w:tblPr>
        <w:tblW w:w="10674" w:type="dxa"/>
        <w:tblInd w:w="-118" w:type="dxa"/>
        <w:tblLook w:val="04A0"/>
      </w:tblPr>
      <w:tblGrid>
        <w:gridCol w:w="1119"/>
        <w:gridCol w:w="979"/>
        <w:gridCol w:w="1157"/>
        <w:gridCol w:w="496"/>
        <w:gridCol w:w="496"/>
        <w:gridCol w:w="426"/>
        <w:gridCol w:w="426"/>
        <w:gridCol w:w="496"/>
        <w:gridCol w:w="496"/>
        <w:gridCol w:w="395"/>
        <w:gridCol w:w="356"/>
        <w:gridCol w:w="395"/>
        <w:gridCol w:w="356"/>
        <w:gridCol w:w="496"/>
        <w:gridCol w:w="496"/>
        <w:gridCol w:w="8"/>
        <w:gridCol w:w="488"/>
        <w:gridCol w:w="426"/>
        <w:gridCol w:w="18"/>
        <w:gridCol w:w="548"/>
        <w:gridCol w:w="499"/>
        <w:gridCol w:w="222"/>
        <w:gridCol w:w="21"/>
      </w:tblGrid>
      <w:tr w:rsidR="00A35E9C" w:rsidRPr="000F013C" w:rsidTr="00A35E9C">
        <w:trPr>
          <w:gridAfter w:val="2"/>
          <w:wAfter w:w="243" w:type="dxa"/>
          <w:trHeight w:val="697"/>
        </w:trPr>
        <w:tc>
          <w:tcPr>
            <w:tcW w:w="1119" w:type="dxa"/>
            <w:vMerge w:val="restart"/>
            <w:tcBorders>
              <w:top w:val="single" w:sz="8" w:space="0" w:color="auto"/>
              <w:left w:val="single" w:sz="8" w:space="0" w:color="auto"/>
              <w:bottom w:val="nil"/>
              <w:right w:val="single" w:sz="8" w:space="0" w:color="000000"/>
            </w:tcBorders>
            <w:shd w:val="clear" w:color="000000" w:fill="C0C0C0"/>
            <w:vAlign w:val="center"/>
            <w:hideMark/>
          </w:tcPr>
          <w:p w:rsidR="00A35E9C" w:rsidRPr="000F013C" w:rsidRDefault="00A35E9C" w:rsidP="00A35E9C">
            <w:pPr>
              <w:jc w:val="center"/>
              <w:rPr>
                <w:rFonts w:ascii="Arial" w:hAnsi="Arial" w:cs="Arial"/>
                <w:b/>
                <w:bCs/>
                <w:sz w:val="14"/>
                <w:szCs w:val="14"/>
                <w:lang w:val="hr-HR" w:eastAsia="hr-HR"/>
              </w:rPr>
            </w:pPr>
            <w:r w:rsidRPr="000F013C">
              <w:rPr>
                <w:rFonts w:ascii="Arial" w:hAnsi="Arial" w:cs="Arial"/>
                <w:b/>
                <w:bCs/>
                <w:sz w:val="14"/>
                <w:szCs w:val="14"/>
                <w:lang w:val="hr-HR" w:eastAsia="hr-HR"/>
              </w:rPr>
              <w:t>OPĆINA</w:t>
            </w:r>
          </w:p>
        </w:tc>
        <w:tc>
          <w:tcPr>
            <w:tcW w:w="1989" w:type="dxa"/>
            <w:gridSpan w:val="2"/>
            <w:vMerge w:val="restart"/>
            <w:tcBorders>
              <w:top w:val="single" w:sz="8" w:space="0" w:color="auto"/>
              <w:left w:val="single" w:sz="8" w:space="0" w:color="000000"/>
              <w:bottom w:val="single" w:sz="8" w:space="0" w:color="000000"/>
              <w:right w:val="single" w:sz="8" w:space="0" w:color="000000"/>
            </w:tcBorders>
            <w:shd w:val="clear" w:color="000000" w:fill="C0C0C0"/>
            <w:vAlign w:val="center"/>
            <w:hideMark/>
          </w:tcPr>
          <w:p w:rsidR="00A35E9C" w:rsidRPr="000F013C" w:rsidRDefault="00A35E9C" w:rsidP="00A35E9C">
            <w:pPr>
              <w:jc w:val="center"/>
              <w:rPr>
                <w:rFonts w:ascii="Arial" w:hAnsi="Arial" w:cs="Arial"/>
                <w:b/>
                <w:bCs/>
                <w:sz w:val="14"/>
                <w:szCs w:val="14"/>
                <w:lang w:val="hr-HR" w:eastAsia="hr-HR"/>
              </w:rPr>
            </w:pPr>
            <w:r w:rsidRPr="000F013C">
              <w:rPr>
                <w:rFonts w:ascii="Arial" w:hAnsi="Arial" w:cs="Arial"/>
                <w:b/>
                <w:bCs/>
                <w:sz w:val="14"/>
                <w:szCs w:val="14"/>
                <w:lang w:val="hr-HR" w:eastAsia="hr-HR"/>
              </w:rPr>
              <w:t>UKUPNO</w:t>
            </w:r>
          </w:p>
        </w:tc>
        <w:tc>
          <w:tcPr>
            <w:tcW w:w="992" w:type="dxa"/>
            <w:gridSpan w:val="2"/>
            <w:vMerge w:val="restart"/>
            <w:tcBorders>
              <w:top w:val="single" w:sz="8" w:space="0" w:color="auto"/>
              <w:left w:val="single" w:sz="8" w:space="0" w:color="000000"/>
              <w:bottom w:val="single" w:sz="8" w:space="0" w:color="000000"/>
              <w:right w:val="single" w:sz="8" w:space="0" w:color="000000"/>
            </w:tcBorders>
            <w:shd w:val="clear" w:color="000000" w:fill="C0C0C0"/>
            <w:vAlign w:val="center"/>
            <w:hideMark/>
          </w:tcPr>
          <w:p w:rsidR="00A35E9C" w:rsidRPr="000F013C" w:rsidRDefault="00A35E9C" w:rsidP="00A35E9C">
            <w:pPr>
              <w:jc w:val="center"/>
              <w:rPr>
                <w:rFonts w:ascii="Arial" w:hAnsi="Arial" w:cs="Arial"/>
                <w:b/>
                <w:bCs/>
                <w:sz w:val="14"/>
                <w:szCs w:val="14"/>
                <w:lang w:val="hr-HR" w:eastAsia="hr-HR"/>
              </w:rPr>
            </w:pPr>
            <w:r w:rsidRPr="000F013C">
              <w:rPr>
                <w:rFonts w:ascii="Arial" w:hAnsi="Arial" w:cs="Arial"/>
                <w:b/>
                <w:bCs/>
                <w:sz w:val="14"/>
                <w:szCs w:val="14"/>
                <w:lang w:val="hr-HR" w:eastAsia="hr-HR"/>
              </w:rPr>
              <w:t>VSS</w:t>
            </w:r>
          </w:p>
        </w:tc>
        <w:tc>
          <w:tcPr>
            <w:tcW w:w="852" w:type="dxa"/>
            <w:gridSpan w:val="2"/>
            <w:vMerge w:val="restart"/>
            <w:tcBorders>
              <w:top w:val="single" w:sz="8" w:space="0" w:color="auto"/>
              <w:left w:val="single" w:sz="8" w:space="0" w:color="000000"/>
              <w:bottom w:val="single" w:sz="8" w:space="0" w:color="000000"/>
              <w:right w:val="single" w:sz="8" w:space="0" w:color="000000"/>
            </w:tcBorders>
            <w:shd w:val="clear" w:color="000000" w:fill="C0C0C0"/>
            <w:vAlign w:val="center"/>
            <w:hideMark/>
          </w:tcPr>
          <w:p w:rsidR="00A35E9C" w:rsidRPr="000F013C" w:rsidRDefault="00A35E9C" w:rsidP="00A35E9C">
            <w:pPr>
              <w:jc w:val="center"/>
              <w:rPr>
                <w:rFonts w:ascii="Arial" w:hAnsi="Arial" w:cs="Arial"/>
                <w:b/>
                <w:bCs/>
                <w:sz w:val="14"/>
                <w:szCs w:val="14"/>
                <w:lang w:val="hr-HR" w:eastAsia="hr-HR"/>
              </w:rPr>
            </w:pPr>
            <w:r w:rsidRPr="000F013C">
              <w:rPr>
                <w:rFonts w:ascii="Arial" w:hAnsi="Arial" w:cs="Arial"/>
                <w:b/>
                <w:bCs/>
                <w:sz w:val="14"/>
                <w:szCs w:val="14"/>
                <w:lang w:val="hr-HR" w:eastAsia="hr-HR"/>
              </w:rPr>
              <w:t>VŠS</w:t>
            </w:r>
          </w:p>
        </w:tc>
        <w:tc>
          <w:tcPr>
            <w:tcW w:w="992" w:type="dxa"/>
            <w:gridSpan w:val="2"/>
            <w:vMerge w:val="restart"/>
            <w:tcBorders>
              <w:top w:val="single" w:sz="8" w:space="0" w:color="auto"/>
              <w:left w:val="single" w:sz="8" w:space="0" w:color="000000"/>
              <w:bottom w:val="single" w:sz="8" w:space="0" w:color="000000"/>
              <w:right w:val="single" w:sz="8" w:space="0" w:color="000000"/>
            </w:tcBorders>
            <w:shd w:val="clear" w:color="000000" w:fill="C0C0C0"/>
            <w:vAlign w:val="center"/>
            <w:hideMark/>
          </w:tcPr>
          <w:p w:rsidR="00A35E9C" w:rsidRPr="000F013C" w:rsidRDefault="00A35E9C" w:rsidP="00A35E9C">
            <w:pPr>
              <w:jc w:val="center"/>
              <w:rPr>
                <w:rFonts w:ascii="Arial" w:hAnsi="Arial" w:cs="Arial"/>
                <w:b/>
                <w:bCs/>
                <w:sz w:val="14"/>
                <w:szCs w:val="14"/>
                <w:lang w:val="hr-HR" w:eastAsia="hr-HR"/>
              </w:rPr>
            </w:pPr>
            <w:r w:rsidRPr="000F013C">
              <w:rPr>
                <w:rFonts w:ascii="Arial" w:hAnsi="Arial" w:cs="Arial"/>
                <w:b/>
                <w:bCs/>
                <w:sz w:val="14"/>
                <w:szCs w:val="14"/>
                <w:lang w:val="hr-HR" w:eastAsia="hr-HR"/>
              </w:rPr>
              <w:t>SSS</w:t>
            </w:r>
          </w:p>
        </w:tc>
        <w:tc>
          <w:tcPr>
            <w:tcW w:w="751" w:type="dxa"/>
            <w:gridSpan w:val="2"/>
            <w:vMerge w:val="restart"/>
            <w:tcBorders>
              <w:top w:val="single" w:sz="8" w:space="0" w:color="auto"/>
              <w:left w:val="single" w:sz="8" w:space="0" w:color="000000"/>
              <w:bottom w:val="single" w:sz="8" w:space="0" w:color="000000"/>
              <w:right w:val="single" w:sz="8" w:space="0" w:color="000000"/>
            </w:tcBorders>
            <w:shd w:val="clear" w:color="000000" w:fill="C0C0C0"/>
            <w:vAlign w:val="center"/>
            <w:hideMark/>
          </w:tcPr>
          <w:p w:rsidR="00A35E9C" w:rsidRPr="000F013C" w:rsidRDefault="00A35E9C" w:rsidP="00A35E9C">
            <w:pPr>
              <w:jc w:val="center"/>
              <w:rPr>
                <w:rFonts w:ascii="Arial" w:hAnsi="Arial" w:cs="Arial"/>
                <w:b/>
                <w:bCs/>
                <w:sz w:val="14"/>
                <w:szCs w:val="14"/>
                <w:lang w:val="hr-HR" w:eastAsia="hr-HR"/>
              </w:rPr>
            </w:pPr>
            <w:r w:rsidRPr="000F013C">
              <w:rPr>
                <w:rFonts w:ascii="Arial" w:hAnsi="Arial" w:cs="Arial"/>
                <w:b/>
                <w:bCs/>
                <w:sz w:val="14"/>
                <w:szCs w:val="14"/>
                <w:lang w:val="hr-HR" w:eastAsia="hr-HR"/>
              </w:rPr>
              <w:t>NSS</w:t>
            </w:r>
          </w:p>
        </w:tc>
        <w:tc>
          <w:tcPr>
            <w:tcW w:w="756" w:type="dxa"/>
            <w:gridSpan w:val="2"/>
            <w:vMerge w:val="restart"/>
            <w:tcBorders>
              <w:top w:val="single" w:sz="8" w:space="0" w:color="auto"/>
              <w:left w:val="single" w:sz="8" w:space="0" w:color="000000"/>
              <w:bottom w:val="single" w:sz="8" w:space="0" w:color="000000"/>
              <w:right w:val="single" w:sz="8" w:space="0" w:color="000000"/>
            </w:tcBorders>
            <w:shd w:val="clear" w:color="000000" w:fill="C0C0C0"/>
            <w:vAlign w:val="center"/>
            <w:hideMark/>
          </w:tcPr>
          <w:p w:rsidR="00A35E9C" w:rsidRPr="000F013C" w:rsidRDefault="00A35E9C" w:rsidP="00A35E9C">
            <w:pPr>
              <w:jc w:val="center"/>
              <w:rPr>
                <w:rFonts w:ascii="Arial" w:hAnsi="Arial" w:cs="Arial"/>
                <w:b/>
                <w:bCs/>
                <w:sz w:val="14"/>
                <w:szCs w:val="14"/>
                <w:lang w:val="hr-HR" w:eastAsia="hr-HR"/>
              </w:rPr>
            </w:pPr>
            <w:r w:rsidRPr="000F013C">
              <w:rPr>
                <w:rFonts w:ascii="Arial" w:hAnsi="Arial" w:cs="Arial"/>
                <w:b/>
                <w:bCs/>
                <w:sz w:val="14"/>
                <w:szCs w:val="14"/>
                <w:lang w:val="hr-HR" w:eastAsia="hr-HR"/>
              </w:rPr>
              <w:t>VKV</w:t>
            </w:r>
          </w:p>
        </w:tc>
        <w:tc>
          <w:tcPr>
            <w:tcW w:w="1000" w:type="dxa"/>
            <w:gridSpan w:val="3"/>
            <w:vMerge w:val="restart"/>
            <w:tcBorders>
              <w:top w:val="single" w:sz="8" w:space="0" w:color="auto"/>
              <w:left w:val="single" w:sz="8" w:space="0" w:color="000000"/>
              <w:bottom w:val="single" w:sz="8" w:space="0" w:color="000000"/>
              <w:right w:val="single" w:sz="8" w:space="0" w:color="000000"/>
            </w:tcBorders>
            <w:shd w:val="clear" w:color="000000" w:fill="C0C0C0"/>
            <w:vAlign w:val="center"/>
            <w:hideMark/>
          </w:tcPr>
          <w:p w:rsidR="00A35E9C" w:rsidRPr="000F013C" w:rsidRDefault="00A35E9C" w:rsidP="00A35E9C">
            <w:pPr>
              <w:jc w:val="center"/>
              <w:rPr>
                <w:rFonts w:ascii="Arial" w:hAnsi="Arial" w:cs="Arial"/>
                <w:b/>
                <w:bCs/>
                <w:sz w:val="14"/>
                <w:szCs w:val="14"/>
                <w:lang w:val="hr-HR" w:eastAsia="hr-HR"/>
              </w:rPr>
            </w:pPr>
            <w:r w:rsidRPr="000F013C">
              <w:rPr>
                <w:rFonts w:ascii="Arial" w:hAnsi="Arial" w:cs="Arial"/>
                <w:b/>
                <w:bCs/>
                <w:sz w:val="14"/>
                <w:szCs w:val="14"/>
                <w:lang w:val="hr-HR" w:eastAsia="hr-HR"/>
              </w:rPr>
              <w:t>KV</w:t>
            </w:r>
          </w:p>
        </w:tc>
        <w:tc>
          <w:tcPr>
            <w:tcW w:w="932" w:type="dxa"/>
            <w:gridSpan w:val="3"/>
            <w:vMerge w:val="restart"/>
            <w:tcBorders>
              <w:top w:val="single" w:sz="8" w:space="0" w:color="auto"/>
              <w:left w:val="single" w:sz="8" w:space="0" w:color="000000"/>
              <w:bottom w:val="single" w:sz="8" w:space="0" w:color="000000"/>
              <w:right w:val="single" w:sz="8" w:space="0" w:color="000000"/>
            </w:tcBorders>
            <w:shd w:val="clear" w:color="000000" w:fill="C0C0C0"/>
            <w:vAlign w:val="center"/>
            <w:hideMark/>
          </w:tcPr>
          <w:p w:rsidR="00A35E9C" w:rsidRPr="000F013C" w:rsidRDefault="00A35E9C" w:rsidP="00A35E9C">
            <w:pPr>
              <w:jc w:val="center"/>
              <w:rPr>
                <w:rFonts w:ascii="Arial" w:hAnsi="Arial" w:cs="Arial"/>
                <w:b/>
                <w:bCs/>
                <w:sz w:val="14"/>
                <w:szCs w:val="14"/>
                <w:lang w:val="hr-HR" w:eastAsia="hr-HR"/>
              </w:rPr>
            </w:pPr>
            <w:r w:rsidRPr="000F013C">
              <w:rPr>
                <w:rFonts w:ascii="Arial" w:hAnsi="Arial" w:cs="Arial"/>
                <w:b/>
                <w:bCs/>
                <w:sz w:val="14"/>
                <w:szCs w:val="14"/>
                <w:lang w:val="hr-HR" w:eastAsia="hr-HR"/>
              </w:rPr>
              <w:t>PK</w:t>
            </w:r>
          </w:p>
        </w:tc>
        <w:tc>
          <w:tcPr>
            <w:tcW w:w="1048" w:type="dxa"/>
            <w:gridSpan w:val="2"/>
            <w:vMerge w:val="restart"/>
            <w:tcBorders>
              <w:top w:val="single" w:sz="8" w:space="0" w:color="auto"/>
              <w:left w:val="single" w:sz="8" w:space="0" w:color="000000"/>
              <w:bottom w:val="single" w:sz="8" w:space="0" w:color="000000"/>
              <w:right w:val="single" w:sz="8" w:space="0" w:color="000000"/>
            </w:tcBorders>
            <w:shd w:val="clear" w:color="000000" w:fill="C0C0C0"/>
            <w:vAlign w:val="center"/>
            <w:hideMark/>
          </w:tcPr>
          <w:p w:rsidR="00A35E9C" w:rsidRPr="000F013C" w:rsidRDefault="00A35E9C" w:rsidP="00A35E9C">
            <w:pPr>
              <w:jc w:val="center"/>
              <w:rPr>
                <w:rFonts w:ascii="Arial" w:hAnsi="Arial" w:cs="Arial"/>
                <w:b/>
                <w:bCs/>
                <w:sz w:val="14"/>
                <w:szCs w:val="14"/>
                <w:lang w:val="hr-HR" w:eastAsia="hr-HR"/>
              </w:rPr>
            </w:pPr>
            <w:r w:rsidRPr="000F013C">
              <w:rPr>
                <w:rFonts w:ascii="Arial" w:hAnsi="Arial" w:cs="Arial"/>
                <w:b/>
                <w:bCs/>
                <w:sz w:val="14"/>
                <w:szCs w:val="14"/>
                <w:lang w:val="hr-HR" w:eastAsia="hr-HR"/>
              </w:rPr>
              <w:t>NKV</w:t>
            </w:r>
          </w:p>
        </w:tc>
      </w:tr>
      <w:tr w:rsidR="00A35E9C" w:rsidRPr="000F013C" w:rsidTr="00A35E9C">
        <w:trPr>
          <w:trHeight w:val="414"/>
        </w:trPr>
        <w:tc>
          <w:tcPr>
            <w:tcW w:w="1119" w:type="dxa"/>
            <w:vMerge/>
            <w:tcBorders>
              <w:top w:val="single" w:sz="8" w:space="0" w:color="auto"/>
              <w:left w:val="single" w:sz="8" w:space="0" w:color="auto"/>
              <w:bottom w:val="nil"/>
              <w:right w:val="single" w:sz="8" w:space="0" w:color="000000"/>
            </w:tcBorders>
            <w:vAlign w:val="center"/>
            <w:hideMark/>
          </w:tcPr>
          <w:p w:rsidR="00A35E9C" w:rsidRPr="000F013C" w:rsidRDefault="00A35E9C" w:rsidP="00A35E9C">
            <w:pPr>
              <w:rPr>
                <w:rFonts w:ascii="Arial" w:hAnsi="Arial" w:cs="Arial"/>
                <w:b/>
                <w:bCs/>
                <w:sz w:val="14"/>
                <w:szCs w:val="14"/>
                <w:lang w:val="hr-HR" w:eastAsia="hr-HR"/>
              </w:rPr>
            </w:pPr>
          </w:p>
        </w:tc>
        <w:tc>
          <w:tcPr>
            <w:tcW w:w="1989" w:type="dxa"/>
            <w:gridSpan w:val="2"/>
            <w:vMerge/>
            <w:tcBorders>
              <w:top w:val="single" w:sz="8" w:space="0" w:color="auto"/>
              <w:left w:val="single" w:sz="8" w:space="0" w:color="000000"/>
              <w:bottom w:val="single" w:sz="8" w:space="0" w:color="000000"/>
              <w:right w:val="single" w:sz="8" w:space="0" w:color="000000"/>
            </w:tcBorders>
            <w:vAlign w:val="center"/>
            <w:hideMark/>
          </w:tcPr>
          <w:p w:rsidR="00A35E9C" w:rsidRPr="000F013C" w:rsidRDefault="00A35E9C" w:rsidP="00A35E9C">
            <w:pPr>
              <w:rPr>
                <w:rFonts w:ascii="Arial" w:hAnsi="Arial" w:cs="Arial"/>
                <w:b/>
                <w:bCs/>
                <w:sz w:val="14"/>
                <w:szCs w:val="14"/>
                <w:lang w:val="hr-HR" w:eastAsia="hr-HR"/>
              </w:rPr>
            </w:pPr>
          </w:p>
        </w:tc>
        <w:tc>
          <w:tcPr>
            <w:tcW w:w="992" w:type="dxa"/>
            <w:gridSpan w:val="2"/>
            <w:vMerge/>
            <w:tcBorders>
              <w:top w:val="single" w:sz="8" w:space="0" w:color="auto"/>
              <w:left w:val="single" w:sz="8" w:space="0" w:color="000000"/>
              <w:bottom w:val="single" w:sz="8" w:space="0" w:color="000000"/>
              <w:right w:val="single" w:sz="8" w:space="0" w:color="000000"/>
            </w:tcBorders>
            <w:vAlign w:val="center"/>
            <w:hideMark/>
          </w:tcPr>
          <w:p w:rsidR="00A35E9C" w:rsidRPr="000F013C" w:rsidRDefault="00A35E9C" w:rsidP="00A35E9C">
            <w:pPr>
              <w:rPr>
                <w:rFonts w:ascii="Arial" w:hAnsi="Arial" w:cs="Arial"/>
                <w:b/>
                <w:bCs/>
                <w:sz w:val="14"/>
                <w:szCs w:val="14"/>
                <w:lang w:val="hr-HR" w:eastAsia="hr-HR"/>
              </w:rPr>
            </w:pPr>
          </w:p>
        </w:tc>
        <w:tc>
          <w:tcPr>
            <w:tcW w:w="852" w:type="dxa"/>
            <w:gridSpan w:val="2"/>
            <w:vMerge/>
            <w:tcBorders>
              <w:top w:val="single" w:sz="8" w:space="0" w:color="auto"/>
              <w:left w:val="single" w:sz="8" w:space="0" w:color="000000"/>
              <w:bottom w:val="single" w:sz="8" w:space="0" w:color="000000"/>
              <w:right w:val="single" w:sz="8" w:space="0" w:color="000000"/>
            </w:tcBorders>
            <w:vAlign w:val="center"/>
            <w:hideMark/>
          </w:tcPr>
          <w:p w:rsidR="00A35E9C" w:rsidRPr="000F013C" w:rsidRDefault="00A35E9C" w:rsidP="00A35E9C">
            <w:pPr>
              <w:rPr>
                <w:rFonts w:ascii="Arial" w:hAnsi="Arial" w:cs="Arial"/>
                <w:b/>
                <w:bCs/>
                <w:sz w:val="14"/>
                <w:szCs w:val="14"/>
                <w:lang w:val="hr-HR" w:eastAsia="hr-HR"/>
              </w:rPr>
            </w:pPr>
          </w:p>
        </w:tc>
        <w:tc>
          <w:tcPr>
            <w:tcW w:w="992" w:type="dxa"/>
            <w:gridSpan w:val="2"/>
            <w:vMerge/>
            <w:tcBorders>
              <w:top w:val="single" w:sz="8" w:space="0" w:color="auto"/>
              <w:left w:val="single" w:sz="8" w:space="0" w:color="000000"/>
              <w:bottom w:val="single" w:sz="8" w:space="0" w:color="000000"/>
              <w:right w:val="single" w:sz="8" w:space="0" w:color="000000"/>
            </w:tcBorders>
            <w:vAlign w:val="center"/>
            <w:hideMark/>
          </w:tcPr>
          <w:p w:rsidR="00A35E9C" w:rsidRPr="000F013C" w:rsidRDefault="00A35E9C" w:rsidP="00A35E9C">
            <w:pPr>
              <w:rPr>
                <w:rFonts w:ascii="Arial" w:hAnsi="Arial" w:cs="Arial"/>
                <w:b/>
                <w:bCs/>
                <w:sz w:val="14"/>
                <w:szCs w:val="14"/>
                <w:lang w:val="hr-HR" w:eastAsia="hr-HR"/>
              </w:rPr>
            </w:pPr>
          </w:p>
        </w:tc>
        <w:tc>
          <w:tcPr>
            <w:tcW w:w="751" w:type="dxa"/>
            <w:gridSpan w:val="2"/>
            <w:vMerge/>
            <w:tcBorders>
              <w:top w:val="single" w:sz="8" w:space="0" w:color="auto"/>
              <w:left w:val="single" w:sz="8" w:space="0" w:color="000000"/>
              <w:bottom w:val="single" w:sz="8" w:space="0" w:color="000000"/>
              <w:right w:val="single" w:sz="8" w:space="0" w:color="000000"/>
            </w:tcBorders>
            <w:vAlign w:val="center"/>
            <w:hideMark/>
          </w:tcPr>
          <w:p w:rsidR="00A35E9C" w:rsidRPr="000F013C" w:rsidRDefault="00A35E9C" w:rsidP="00A35E9C">
            <w:pPr>
              <w:rPr>
                <w:rFonts w:ascii="Arial" w:hAnsi="Arial" w:cs="Arial"/>
                <w:b/>
                <w:bCs/>
                <w:sz w:val="14"/>
                <w:szCs w:val="14"/>
                <w:lang w:val="hr-HR" w:eastAsia="hr-HR"/>
              </w:rPr>
            </w:pPr>
          </w:p>
        </w:tc>
        <w:tc>
          <w:tcPr>
            <w:tcW w:w="756" w:type="dxa"/>
            <w:gridSpan w:val="2"/>
            <w:vMerge/>
            <w:tcBorders>
              <w:top w:val="single" w:sz="8" w:space="0" w:color="auto"/>
              <w:left w:val="single" w:sz="8" w:space="0" w:color="000000"/>
              <w:bottom w:val="single" w:sz="8" w:space="0" w:color="000000"/>
              <w:right w:val="single" w:sz="8" w:space="0" w:color="000000"/>
            </w:tcBorders>
            <w:vAlign w:val="center"/>
            <w:hideMark/>
          </w:tcPr>
          <w:p w:rsidR="00A35E9C" w:rsidRPr="000F013C" w:rsidRDefault="00A35E9C" w:rsidP="00A35E9C">
            <w:pPr>
              <w:rPr>
                <w:rFonts w:ascii="Arial" w:hAnsi="Arial" w:cs="Arial"/>
                <w:b/>
                <w:bCs/>
                <w:sz w:val="14"/>
                <w:szCs w:val="14"/>
                <w:lang w:val="hr-HR" w:eastAsia="hr-HR"/>
              </w:rPr>
            </w:pPr>
          </w:p>
        </w:tc>
        <w:tc>
          <w:tcPr>
            <w:tcW w:w="1000" w:type="dxa"/>
            <w:gridSpan w:val="3"/>
            <w:vMerge/>
            <w:tcBorders>
              <w:top w:val="single" w:sz="8" w:space="0" w:color="auto"/>
              <w:left w:val="single" w:sz="8" w:space="0" w:color="000000"/>
              <w:bottom w:val="single" w:sz="8" w:space="0" w:color="000000"/>
              <w:right w:val="single" w:sz="8" w:space="0" w:color="000000"/>
            </w:tcBorders>
            <w:vAlign w:val="center"/>
            <w:hideMark/>
          </w:tcPr>
          <w:p w:rsidR="00A35E9C" w:rsidRPr="000F013C" w:rsidRDefault="00A35E9C" w:rsidP="00A35E9C">
            <w:pPr>
              <w:rPr>
                <w:rFonts w:ascii="Arial" w:hAnsi="Arial" w:cs="Arial"/>
                <w:b/>
                <w:bCs/>
                <w:sz w:val="14"/>
                <w:szCs w:val="14"/>
                <w:lang w:val="hr-HR" w:eastAsia="hr-HR"/>
              </w:rPr>
            </w:pPr>
          </w:p>
        </w:tc>
        <w:tc>
          <w:tcPr>
            <w:tcW w:w="932" w:type="dxa"/>
            <w:gridSpan w:val="3"/>
            <w:vMerge/>
            <w:tcBorders>
              <w:top w:val="single" w:sz="8" w:space="0" w:color="auto"/>
              <w:left w:val="single" w:sz="8" w:space="0" w:color="000000"/>
              <w:bottom w:val="single" w:sz="8" w:space="0" w:color="000000"/>
              <w:right w:val="single" w:sz="8" w:space="0" w:color="000000"/>
            </w:tcBorders>
            <w:vAlign w:val="center"/>
            <w:hideMark/>
          </w:tcPr>
          <w:p w:rsidR="00A35E9C" w:rsidRPr="000F013C" w:rsidRDefault="00A35E9C" w:rsidP="00A35E9C">
            <w:pPr>
              <w:rPr>
                <w:rFonts w:ascii="Arial" w:hAnsi="Arial" w:cs="Arial"/>
                <w:b/>
                <w:bCs/>
                <w:sz w:val="14"/>
                <w:szCs w:val="14"/>
                <w:lang w:val="hr-HR" w:eastAsia="hr-HR"/>
              </w:rPr>
            </w:pPr>
          </w:p>
        </w:tc>
        <w:tc>
          <w:tcPr>
            <w:tcW w:w="1048" w:type="dxa"/>
            <w:gridSpan w:val="2"/>
            <w:vMerge/>
            <w:tcBorders>
              <w:top w:val="single" w:sz="8" w:space="0" w:color="auto"/>
              <w:left w:val="single" w:sz="8" w:space="0" w:color="000000"/>
              <w:bottom w:val="single" w:sz="8" w:space="0" w:color="000000"/>
              <w:right w:val="single" w:sz="8" w:space="0" w:color="000000"/>
            </w:tcBorders>
            <w:vAlign w:val="center"/>
            <w:hideMark/>
          </w:tcPr>
          <w:p w:rsidR="00A35E9C" w:rsidRPr="000F013C" w:rsidRDefault="00A35E9C" w:rsidP="00A35E9C">
            <w:pPr>
              <w:rPr>
                <w:rFonts w:ascii="Arial" w:hAnsi="Arial" w:cs="Arial"/>
                <w:b/>
                <w:bCs/>
                <w:sz w:val="14"/>
                <w:szCs w:val="14"/>
                <w:lang w:val="hr-HR" w:eastAsia="hr-HR"/>
              </w:rPr>
            </w:pPr>
          </w:p>
        </w:tc>
        <w:tc>
          <w:tcPr>
            <w:tcW w:w="243" w:type="dxa"/>
            <w:gridSpan w:val="2"/>
            <w:tcBorders>
              <w:top w:val="nil"/>
              <w:left w:val="nil"/>
              <w:bottom w:val="nil"/>
              <w:right w:val="nil"/>
            </w:tcBorders>
            <w:shd w:val="clear" w:color="auto" w:fill="auto"/>
            <w:noWrap/>
            <w:vAlign w:val="bottom"/>
            <w:hideMark/>
          </w:tcPr>
          <w:p w:rsidR="00A35E9C" w:rsidRPr="000F013C" w:rsidRDefault="00A35E9C" w:rsidP="00A35E9C">
            <w:pPr>
              <w:jc w:val="center"/>
              <w:rPr>
                <w:rFonts w:ascii="Arial" w:hAnsi="Arial" w:cs="Arial"/>
                <w:b/>
                <w:bCs/>
                <w:sz w:val="14"/>
                <w:szCs w:val="14"/>
                <w:lang w:val="hr-HR" w:eastAsia="hr-HR"/>
              </w:rPr>
            </w:pPr>
          </w:p>
        </w:tc>
      </w:tr>
      <w:tr w:rsidR="00A35E9C" w:rsidRPr="000F013C" w:rsidTr="00A35E9C">
        <w:trPr>
          <w:gridAfter w:val="1"/>
          <w:wAfter w:w="30" w:type="dxa"/>
          <w:trHeight w:val="414"/>
        </w:trPr>
        <w:tc>
          <w:tcPr>
            <w:tcW w:w="1119" w:type="dxa"/>
            <w:tcBorders>
              <w:top w:val="nil"/>
              <w:left w:val="single" w:sz="8" w:space="0" w:color="auto"/>
              <w:bottom w:val="single" w:sz="8" w:space="0" w:color="000000"/>
              <w:right w:val="single" w:sz="8" w:space="0" w:color="000000"/>
            </w:tcBorders>
            <w:shd w:val="clear" w:color="000000" w:fill="C0C0C0"/>
            <w:vAlign w:val="center"/>
            <w:hideMark/>
          </w:tcPr>
          <w:p w:rsidR="00A35E9C" w:rsidRPr="000F013C" w:rsidRDefault="00A35E9C" w:rsidP="00A35E9C">
            <w:pPr>
              <w:rPr>
                <w:rFonts w:ascii="Arial" w:hAnsi="Arial" w:cs="Arial"/>
                <w:sz w:val="16"/>
                <w:szCs w:val="16"/>
                <w:lang w:val="hr-HR" w:eastAsia="hr-HR"/>
              </w:rPr>
            </w:pPr>
            <w:r w:rsidRPr="000F013C">
              <w:rPr>
                <w:rFonts w:ascii="Arial" w:hAnsi="Arial" w:cs="Arial"/>
                <w:sz w:val="16"/>
                <w:szCs w:val="16"/>
                <w:lang w:val="hr-HR" w:eastAsia="hr-HR"/>
              </w:rPr>
              <w:t> </w:t>
            </w:r>
          </w:p>
        </w:tc>
        <w:tc>
          <w:tcPr>
            <w:tcW w:w="832" w:type="dxa"/>
            <w:tcBorders>
              <w:top w:val="nil"/>
              <w:left w:val="nil"/>
              <w:bottom w:val="nil"/>
              <w:right w:val="single" w:sz="8" w:space="0" w:color="000000"/>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ukupno/total</w:t>
            </w:r>
          </w:p>
        </w:tc>
        <w:tc>
          <w:tcPr>
            <w:tcW w:w="1157" w:type="dxa"/>
            <w:tcBorders>
              <w:top w:val="nil"/>
              <w:left w:val="nil"/>
              <w:bottom w:val="nil"/>
              <w:right w:val="single" w:sz="8" w:space="0" w:color="000000"/>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žene/women</w:t>
            </w:r>
          </w:p>
        </w:tc>
        <w:tc>
          <w:tcPr>
            <w:tcW w:w="496" w:type="dxa"/>
            <w:tcBorders>
              <w:top w:val="nil"/>
              <w:left w:val="nil"/>
              <w:bottom w:val="nil"/>
              <w:right w:val="single" w:sz="8" w:space="0" w:color="000000"/>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sv.</w:t>
            </w:r>
          </w:p>
        </w:tc>
        <w:tc>
          <w:tcPr>
            <w:tcW w:w="496" w:type="dxa"/>
            <w:tcBorders>
              <w:top w:val="nil"/>
              <w:left w:val="nil"/>
              <w:bottom w:val="nil"/>
              <w:right w:val="single" w:sz="8" w:space="0" w:color="000000"/>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ž.</w:t>
            </w:r>
          </w:p>
        </w:tc>
        <w:tc>
          <w:tcPr>
            <w:tcW w:w="426" w:type="dxa"/>
            <w:tcBorders>
              <w:top w:val="nil"/>
              <w:left w:val="nil"/>
              <w:bottom w:val="nil"/>
              <w:right w:val="single" w:sz="8" w:space="0" w:color="000000"/>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sv.</w:t>
            </w:r>
          </w:p>
        </w:tc>
        <w:tc>
          <w:tcPr>
            <w:tcW w:w="426" w:type="dxa"/>
            <w:tcBorders>
              <w:top w:val="nil"/>
              <w:left w:val="nil"/>
              <w:bottom w:val="nil"/>
              <w:right w:val="single" w:sz="8" w:space="0" w:color="000000"/>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ž.</w:t>
            </w:r>
          </w:p>
        </w:tc>
        <w:tc>
          <w:tcPr>
            <w:tcW w:w="496" w:type="dxa"/>
            <w:tcBorders>
              <w:top w:val="nil"/>
              <w:left w:val="nil"/>
              <w:bottom w:val="nil"/>
              <w:right w:val="single" w:sz="8" w:space="0" w:color="000000"/>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sv.</w:t>
            </w:r>
          </w:p>
        </w:tc>
        <w:tc>
          <w:tcPr>
            <w:tcW w:w="496" w:type="dxa"/>
            <w:tcBorders>
              <w:top w:val="nil"/>
              <w:left w:val="nil"/>
              <w:bottom w:val="nil"/>
              <w:right w:val="single" w:sz="8" w:space="0" w:color="000000"/>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ž.</w:t>
            </w:r>
          </w:p>
        </w:tc>
        <w:tc>
          <w:tcPr>
            <w:tcW w:w="395" w:type="dxa"/>
            <w:tcBorders>
              <w:top w:val="nil"/>
              <w:left w:val="nil"/>
              <w:bottom w:val="nil"/>
              <w:right w:val="single" w:sz="8" w:space="0" w:color="000000"/>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sv.</w:t>
            </w:r>
          </w:p>
        </w:tc>
        <w:tc>
          <w:tcPr>
            <w:tcW w:w="356" w:type="dxa"/>
            <w:tcBorders>
              <w:top w:val="nil"/>
              <w:left w:val="nil"/>
              <w:bottom w:val="nil"/>
              <w:right w:val="single" w:sz="8" w:space="0" w:color="000000"/>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ž.</w:t>
            </w:r>
          </w:p>
        </w:tc>
        <w:tc>
          <w:tcPr>
            <w:tcW w:w="395" w:type="dxa"/>
            <w:tcBorders>
              <w:top w:val="nil"/>
              <w:left w:val="nil"/>
              <w:bottom w:val="nil"/>
              <w:right w:val="single" w:sz="8" w:space="0" w:color="000000"/>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sv.</w:t>
            </w:r>
          </w:p>
        </w:tc>
        <w:tc>
          <w:tcPr>
            <w:tcW w:w="356" w:type="dxa"/>
            <w:tcBorders>
              <w:top w:val="nil"/>
              <w:left w:val="nil"/>
              <w:bottom w:val="nil"/>
              <w:right w:val="single" w:sz="8" w:space="0" w:color="000000"/>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ž</w:t>
            </w:r>
          </w:p>
        </w:tc>
        <w:tc>
          <w:tcPr>
            <w:tcW w:w="496" w:type="dxa"/>
            <w:tcBorders>
              <w:top w:val="nil"/>
              <w:left w:val="nil"/>
              <w:bottom w:val="nil"/>
              <w:right w:val="single" w:sz="8" w:space="0" w:color="000000"/>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sv.</w:t>
            </w:r>
          </w:p>
        </w:tc>
        <w:tc>
          <w:tcPr>
            <w:tcW w:w="496" w:type="dxa"/>
            <w:tcBorders>
              <w:top w:val="nil"/>
              <w:left w:val="nil"/>
              <w:bottom w:val="nil"/>
              <w:right w:val="single" w:sz="8" w:space="0" w:color="000000"/>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ž.</w:t>
            </w:r>
          </w:p>
        </w:tc>
        <w:tc>
          <w:tcPr>
            <w:tcW w:w="496" w:type="dxa"/>
            <w:gridSpan w:val="2"/>
            <w:tcBorders>
              <w:top w:val="nil"/>
              <w:left w:val="nil"/>
              <w:bottom w:val="nil"/>
              <w:right w:val="single" w:sz="8" w:space="0" w:color="000000"/>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sv.</w:t>
            </w:r>
          </w:p>
        </w:tc>
        <w:tc>
          <w:tcPr>
            <w:tcW w:w="426" w:type="dxa"/>
            <w:tcBorders>
              <w:top w:val="nil"/>
              <w:left w:val="nil"/>
              <w:bottom w:val="nil"/>
              <w:right w:val="single" w:sz="8" w:space="0" w:color="000000"/>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ž.</w:t>
            </w:r>
          </w:p>
        </w:tc>
        <w:tc>
          <w:tcPr>
            <w:tcW w:w="566" w:type="dxa"/>
            <w:gridSpan w:val="2"/>
            <w:tcBorders>
              <w:top w:val="nil"/>
              <w:left w:val="nil"/>
              <w:bottom w:val="nil"/>
              <w:right w:val="single" w:sz="8" w:space="0" w:color="000000"/>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sv.</w:t>
            </w:r>
          </w:p>
        </w:tc>
        <w:tc>
          <w:tcPr>
            <w:tcW w:w="496" w:type="dxa"/>
            <w:tcBorders>
              <w:top w:val="nil"/>
              <w:left w:val="nil"/>
              <w:bottom w:val="nil"/>
              <w:right w:val="single" w:sz="8" w:space="0" w:color="auto"/>
            </w:tcBorders>
            <w:shd w:val="clear" w:color="000000" w:fill="C0C0C0"/>
            <w:noWrap/>
            <w:vAlign w:val="center"/>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ž.</w:t>
            </w:r>
          </w:p>
        </w:tc>
        <w:tc>
          <w:tcPr>
            <w:tcW w:w="222" w:type="dxa"/>
            <w:vAlign w:val="center"/>
            <w:hideMark/>
          </w:tcPr>
          <w:p w:rsidR="00A35E9C" w:rsidRPr="000F013C" w:rsidRDefault="00A35E9C" w:rsidP="00A35E9C">
            <w:pPr>
              <w:rPr>
                <w:sz w:val="20"/>
                <w:lang w:val="hr-HR" w:eastAsia="hr-HR"/>
              </w:rPr>
            </w:pPr>
          </w:p>
        </w:tc>
      </w:tr>
      <w:tr w:rsidR="00A35E9C" w:rsidRPr="000F013C" w:rsidTr="00A35E9C">
        <w:trPr>
          <w:gridAfter w:val="1"/>
          <w:wAfter w:w="30" w:type="dxa"/>
          <w:trHeight w:val="414"/>
        </w:trPr>
        <w:tc>
          <w:tcPr>
            <w:tcW w:w="1119" w:type="dxa"/>
            <w:tcBorders>
              <w:top w:val="nil"/>
              <w:left w:val="single" w:sz="8" w:space="0" w:color="auto"/>
              <w:bottom w:val="single" w:sz="8" w:space="0" w:color="000000"/>
              <w:right w:val="nil"/>
            </w:tcBorders>
            <w:shd w:val="clear" w:color="auto" w:fill="auto"/>
            <w:noWrap/>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BIHAĆ</w:t>
            </w:r>
          </w:p>
        </w:tc>
        <w:tc>
          <w:tcPr>
            <w:tcW w:w="832"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7239</w:t>
            </w:r>
          </w:p>
        </w:tc>
        <w:tc>
          <w:tcPr>
            <w:tcW w:w="1157"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4122</w:t>
            </w:r>
          </w:p>
        </w:tc>
        <w:tc>
          <w:tcPr>
            <w:tcW w:w="496"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587</w:t>
            </w:r>
          </w:p>
        </w:tc>
        <w:tc>
          <w:tcPr>
            <w:tcW w:w="496"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416</w:t>
            </w:r>
          </w:p>
        </w:tc>
        <w:tc>
          <w:tcPr>
            <w:tcW w:w="426"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125</w:t>
            </w:r>
          </w:p>
        </w:tc>
        <w:tc>
          <w:tcPr>
            <w:tcW w:w="426"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85</w:t>
            </w:r>
          </w:p>
        </w:tc>
        <w:tc>
          <w:tcPr>
            <w:tcW w:w="496"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2155</w:t>
            </w:r>
          </w:p>
        </w:tc>
        <w:tc>
          <w:tcPr>
            <w:tcW w:w="496"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1356</w:t>
            </w:r>
          </w:p>
        </w:tc>
        <w:tc>
          <w:tcPr>
            <w:tcW w:w="395"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22</w:t>
            </w:r>
          </w:p>
        </w:tc>
        <w:tc>
          <w:tcPr>
            <w:tcW w:w="356"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19</w:t>
            </w:r>
          </w:p>
        </w:tc>
        <w:tc>
          <w:tcPr>
            <w:tcW w:w="395"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23</w:t>
            </w:r>
          </w:p>
        </w:tc>
        <w:tc>
          <w:tcPr>
            <w:tcW w:w="356"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w:t>
            </w:r>
          </w:p>
        </w:tc>
        <w:tc>
          <w:tcPr>
            <w:tcW w:w="496"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1786</w:t>
            </w:r>
          </w:p>
        </w:tc>
        <w:tc>
          <w:tcPr>
            <w:tcW w:w="496"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810</w:t>
            </w:r>
          </w:p>
        </w:tc>
        <w:tc>
          <w:tcPr>
            <w:tcW w:w="49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327</w:t>
            </w:r>
          </w:p>
        </w:tc>
        <w:tc>
          <w:tcPr>
            <w:tcW w:w="426"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116</w:t>
            </w:r>
          </w:p>
        </w:tc>
        <w:tc>
          <w:tcPr>
            <w:tcW w:w="56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2214</w:t>
            </w:r>
          </w:p>
        </w:tc>
        <w:tc>
          <w:tcPr>
            <w:tcW w:w="496"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1318</w:t>
            </w:r>
          </w:p>
        </w:tc>
        <w:tc>
          <w:tcPr>
            <w:tcW w:w="222" w:type="dxa"/>
            <w:vAlign w:val="center"/>
            <w:hideMark/>
          </w:tcPr>
          <w:p w:rsidR="00A35E9C" w:rsidRPr="000F013C" w:rsidRDefault="00A35E9C" w:rsidP="00A35E9C">
            <w:pPr>
              <w:rPr>
                <w:sz w:val="20"/>
                <w:lang w:val="hr-HR" w:eastAsia="hr-HR"/>
              </w:rPr>
            </w:pPr>
          </w:p>
        </w:tc>
      </w:tr>
      <w:tr w:rsidR="00A35E9C" w:rsidRPr="000F013C" w:rsidTr="00A35E9C">
        <w:trPr>
          <w:gridAfter w:val="1"/>
          <w:wAfter w:w="30" w:type="dxa"/>
          <w:trHeight w:val="414"/>
        </w:trPr>
        <w:tc>
          <w:tcPr>
            <w:tcW w:w="1119" w:type="dxa"/>
            <w:tcBorders>
              <w:top w:val="nil"/>
              <w:left w:val="single" w:sz="8" w:space="0" w:color="auto"/>
              <w:bottom w:val="single" w:sz="8" w:space="0" w:color="000000"/>
              <w:right w:val="nil"/>
            </w:tcBorders>
            <w:shd w:val="clear" w:color="auto" w:fill="auto"/>
            <w:noWrap/>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B.KRUPA</w:t>
            </w:r>
          </w:p>
        </w:tc>
        <w:tc>
          <w:tcPr>
            <w:tcW w:w="832"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3415</w:t>
            </w:r>
          </w:p>
        </w:tc>
        <w:tc>
          <w:tcPr>
            <w:tcW w:w="1157"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1919</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184</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133</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29</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21</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796</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555</w:t>
            </w:r>
          </w:p>
        </w:tc>
        <w:tc>
          <w:tcPr>
            <w:tcW w:w="395"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10</w:t>
            </w:r>
          </w:p>
        </w:tc>
        <w:tc>
          <w:tcPr>
            <w:tcW w:w="35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9</w:t>
            </w:r>
          </w:p>
        </w:tc>
        <w:tc>
          <w:tcPr>
            <w:tcW w:w="395"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8</w:t>
            </w:r>
          </w:p>
        </w:tc>
        <w:tc>
          <w:tcPr>
            <w:tcW w:w="35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879</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393</w:t>
            </w:r>
          </w:p>
        </w:tc>
        <w:tc>
          <w:tcPr>
            <w:tcW w:w="496" w:type="dxa"/>
            <w:gridSpan w:val="2"/>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104</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28</w:t>
            </w:r>
          </w:p>
        </w:tc>
        <w:tc>
          <w:tcPr>
            <w:tcW w:w="566" w:type="dxa"/>
            <w:gridSpan w:val="2"/>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1405</w:t>
            </w:r>
          </w:p>
        </w:tc>
        <w:tc>
          <w:tcPr>
            <w:tcW w:w="496" w:type="dxa"/>
            <w:tcBorders>
              <w:top w:val="nil"/>
              <w:left w:val="single" w:sz="8" w:space="0" w:color="auto"/>
              <w:bottom w:val="single" w:sz="4" w:space="0" w:color="auto"/>
              <w:right w:val="single" w:sz="8"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779</w:t>
            </w:r>
          </w:p>
        </w:tc>
        <w:tc>
          <w:tcPr>
            <w:tcW w:w="222" w:type="dxa"/>
            <w:vAlign w:val="center"/>
            <w:hideMark/>
          </w:tcPr>
          <w:p w:rsidR="00A35E9C" w:rsidRPr="000F013C" w:rsidRDefault="00A35E9C" w:rsidP="00A35E9C">
            <w:pPr>
              <w:rPr>
                <w:sz w:val="20"/>
                <w:lang w:val="hr-HR" w:eastAsia="hr-HR"/>
              </w:rPr>
            </w:pPr>
          </w:p>
        </w:tc>
      </w:tr>
      <w:tr w:rsidR="00A35E9C" w:rsidRPr="000F013C" w:rsidTr="00A35E9C">
        <w:trPr>
          <w:gridAfter w:val="1"/>
          <w:wAfter w:w="30" w:type="dxa"/>
          <w:trHeight w:val="414"/>
        </w:trPr>
        <w:tc>
          <w:tcPr>
            <w:tcW w:w="1119" w:type="dxa"/>
            <w:tcBorders>
              <w:top w:val="nil"/>
              <w:left w:val="single" w:sz="8" w:space="0" w:color="auto"/>
              <w:bottom w:val="single" w:sz="8" w:space="0" w:color="000000"/>
              <w:right w:val="nil"/>
            </w:tcBorders>
            <w:shd w:val="clear" w:color="auto" w:fill="auto"/>
            <w:noWrap/>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B.PETROVAC</w:t>
            </w:r>
          </w:p>
        </w:tc>
        <w:tc>
          <w:tcPr>
            <w:tcW w:w="832"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838</w:t>
            </w:r>
          </w:p>
        </w:tc>
        <w:tc>
          <w:tcPr>
            <w:tcW w:w="1157"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437</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24</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13</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8</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4</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197</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118</w:t>
            </w:r>
          </w:p>
        </w:tc>
        <w:tc>
          <w:tcPr>
            <w:tcW w:w="395"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0</w:t>
            </w:r>
          </w:p>
        </w:tc>
        <w:tc>
          <w:tcPr>
            <w:tcW w:w="35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0</w:t>
            </w:r>
          </w:p>
        </w:tc>
        <w:tc>
          <w:tcPr>
            <w:tcW w:w="395"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4</w:t>
            </w:r>
          </w:p>
        </w:tc>
        <w:tc>
          <w:tcPr>
            <w:tcW w:w="35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0</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317</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152</w:t>
            </w:r>
          </w:p>
        </w:tc>
        <w:tc>
          <w:tcPr>
            <w:tcW w:w="496" w:type="dxa"/>
            <w:gridSpan w:val="2"/>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12</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8</w:t>
            </w:r>
          </w:p>
        </w:tc>
        <w:tc>
          <w:tcPr>
            <w:tcW w:w="566" w:type="dxa"/>
            <w:gridSpan w:val="2"/>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276</w:t>
            </w:r>
          </w:p>
        </w:tc>
        <w:tc>
          <w:tcPr>
            <w:tcW w:w="496" w:type="dxa"/>
            <w:tcBorders>
              <w:top w:val="nil"/>
              <w:left w:val="single" w:sz="8" w:space="0" w:color="auto"/>
              <w:bottom w:val="single" w:sz="4" w:space="0" w:color="auto"/>
              <w:right w:val="single" w:sz="8"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142</w:t>
            </w:r>
          </w:p>
        </w:tc>
        <w:tc>
          <w:tcPr>
            <w:tcW w:w="222" w:type="dxa"/>
            <w:vAlign w:val="center"/>
            <w:hideMark/>
          </w:tcPr>
          <w:p w:rsidR="00A35E9C" w:rsidRPr="000F013C" w:rsidRDefault="00A35E9C" w:rsidP="00A35E9C">
            <w:pPr>
              <w:rPr>
                <w:sz w:val="20"/>
                <w:lang w:val="hr-HR" w:eastAsia="hr-HR"/>
              </w:rPr>
            </w:pPr>
          </w:p>
        </w:tc>
      </w:tr>
      <w:tr w:rsidR="00A35E9C" w:rsidRPr="000F013C" w:rsidTr="00A35E9C">
        <w:trPr>
          <w:gridAfter w:val="1"/>
          <w:wAfter w:w="30" w:type="dxa"/>
          <w:trHeight w:val="414"/>
        </w:trPr>
        <w:tc>
          <w:tcPr>
            <w:tcW w:w="1119" w:type="dxa"/>
            <w:tcBorders>
              <w:top w:val="nil"/>
              <w:left w:val="single" w:sz="8" w:space="0" w:color="auto"/>
              <w:bottom w:val="single" w:sz="8" w:space="0" w:color="000000"/>
              <w:right w:val="nil"/>
            </w:tcBorders>
            <w:shd w:val="clear" w:color="auto" w:fill="auto"/>
            <w:noWrap/>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BUŽIM</w:t>
            </w:r>
          </w:p>
        </w:tc>
        <w:tc>
          <w:tcPr>
            <w:tcW w:w="832"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3295</w:t>
            </w:r>
          </w:p>
        </w:tc>
        <w:tc>
          <w:tcPr>
            <w:tcW w:w="1157"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1936</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133</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105</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23</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16</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531</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346</w:t>
            </w:r>
          </w:p>
        </w:tc>
        <w:tc>
          <w:tcPr>
            <w:tcW w:w="395"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0</w:t>
            </w:r>
          </w:p>
        </w:tc>
        <w:tc>
          <w:tcPr>
            <w:tcW w:w="35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0</w:t>
            </w:r>
          </w:p>
        </w:tc>
        <w:tc>
          <w:tcPr>
            <w:tcW w:w="395"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w:t>
            </w:r>
          </w:p>
        </w:tc>
        <w:tc>
          <w:tcPr>
            <w:tcW w:w="35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0</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713</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342</w:t>
            </w:r>
          </w:p>
        </w:tc>
        <w:tc>
          <w:tcPr>
            <w:tcW w:w="496" w:type="dxa"/>
            <w:gridSpan w:val="2"/>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97</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25</w:t>
            </w:r>
          </w:p>
        </w:tc>
        <w:tc>
          <w:tcPr>
            <w:tcW w:w="566" w:type="dxa"/>
            <w:gridSpan w:val="2"/>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1797</w:t>
            </w:r>
          </w:p>
        </w:tc>
        <w:tc>
          <w:tcPr>
            <w:tcW w:w="496" w:type="dxa"/>
            <w:tcBorders>
              <w:top w:val="nil"/>
              <w:left w:val="single" w:sz="8" w:space="0" w:color="auto"/>
              <w:bottom w:val="single" w:sz="4" w:space="0" w:color="auto"/>
              <w:right w:val="single" w:sz="8"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1102</w:t>
            </w:r>
          </w:p>
        </w:tc>
        <w:tc>
          <w:tcPr>
            <w:tcW w:w="222" w:type="dxa"/>
            <w:vAlign w:val="center"/>
            <w:hideMark/>
          </w:tcPr>
          <w:p w:rsidR="00A35E9C" w:rsidRPr="000F013C" w:rsidRDefault="00A35E9C" w:rsidP="00A35E9C">
            <w:pPr>
              <w:rPr>
                <w:sz w:val="20"/>
                <w:lang w:val="hr-HR" w:eastAsia="hr-HR"/>
              </w:rPr>
            </w:pPr>
          </w:p>
        </w:tc>
      </w:tr>
      <w:tr w:rsidR="00A35E9C" w:rsidRPr="000F013C" w:rsidTr="00A35E9C">
        <w:trPr>
          <w:gridAfter w:val="1"/>
          <w:wAfter w:w="30" w:type="dxa"/>
          <w:trHeight w:val="414"/>
        </w:trPr>
        <w:tc>
          <w:tcPr>
            <w:tcW w:w="1119" w:type="dxa"/>
            <w:tcBorders>
              <w:top w:val="nil"/>
              <w:left w:val="single" w:sz="8" w:space="0" w:color="auto"/>
              <w:bottom w:val="single" w:sz="8" w:space="0" w:color="000000"/>
              <w:right w:val="nil"/>
            </w:tcBorders>
            <w:shd w:val="clear" w:color="auto" w:fill="auto"/>
            <w:noWrap/>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CAZIN</w:t>
            </w:r>
          </w:p>
        </w:tc>
        <w:tc>
          <w:tcPr>
            <w:tcW w:w="832"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8054</w:t>
            </w:r>
          </w:p>
        </w:tc>
        <w:tc>
          <w:tcPr>
            <w:tcW w:w="1157"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4294</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332</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245</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53</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22</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1574</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1016</w:t>
            </w:r>
          </w:p>
        </w:tc>
        <w:tc>
          <w:tcPr>
            <w:tcW w:w="395"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0</w:t>
            </w:r>
          </w:p>
        </w:tc>
        <w:tc>
          <w:tcPr>
            <w:tcW w:w="35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0</w:t>
            </w:r>
          </w:p>
        </w:tc>
        <w:tc>
          <w:tcPr>
            <w:tcW w:w="395"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9</w:t>
            </w:r>
          </w:p>
        </w:tc>
        <w:tc>
          <w:tcPr>
            <w:tcW w:w="35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2441</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1106</w:t>
            </w:r>
          </w:p>
        </w:tc>
        <w:tc>
          <w:tcPr>
            <w:tcW w:w="496" w:type="dxa"/>
            <w:gridSpan w:val="2"/>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195</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57</w:t>
            </w:r>
          </w:p>
        </w:tc>
        <w:tc>
          <w:tcPr>
            <w:tcW w:w="566" w:type="dxa"/>
            <w:gridSpan w:val="2"/>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3450</w:t>
            </w:r>
          </w:p>
        </w:tc>
        <w:tc>
          <w:tcPr>
            <w:tcW w:w="496" w:type="dxa"/>
            <w:tcBorders>
              <w:top w:val="nil"/>
              <w:left w:val="single" w:sz="8" w:space="0" w:color="auto"/>
              <w:bottom w:val="single" w:sz="4" w:space="0" w:color="auto"/>
              <w:right w:val="single" w:sz="8"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1846</w:t>
            </w:r>
          </w:p>
        </w:tc>
        <w:tc>
          <w:tcPr>
            <w:tcW w:w="222" w:type="dxa"/>
            <w:vAlign w:val="center"/>
            <w:hideMark/>
          </w:tcPr>
          <w:p w:rsidR="00A35E9C" w:rsidRPr="000F013C" w:rsidRDefault="00A35E9C" w:rsidP="00A35E9C">
            <w:pPr>
              <w:rPr>
                <w:sz w:val="20"/>
                <w:lang w:val="hr-HR" w:eastAsia="hr-HR"/>
              </w:rPr>
            </w:pPr>
          </w:p>
        </w:tc>
      </w:tr>
      <w:tr w:rsidR="00A35E9C" w:rsidRPr="000F013C" w:rsidTr="00A35E9C">
        <w:trPr>
          <w:gridAfter w:val="1"/>
          <w:wAfter w:w="30" w:type="dxa"/>
          <w:trHeight w:val="414"/>
        </w:trPr>
        <w:tc>
          <w:tcPr>
            <w:tcW w:w="1119" w:type="dxa"/>
            <w:tcBorders>
              <w:top w:val="nil"/>
              <w:left w:val="single" w:sz="8" w:space="0" w:color="auto"/>
              <w:bottom w:val="single" w:sz="8" w:space="0" w:color="000000"/>
              <w:right w:val="nil"/>
            </w:tcBorders>
            <w:shd w:val="clear" w:color="auto" w:fill="auto"/>
            <w:noWrap/>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KLJUČ</w:t>
            </w:r>
          </w:p>
        </w:tc>
        <w:tc>
          <w:tcPr>
            <w:tcW w:w="832"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1777</w:t>
            </w:r>
          </w:p>
        </w:tc>
        <w:tc>
          <w:tcPr>
            <w:tcW w:w="1157"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919</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73</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45</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11</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6</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357</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213</w:t>
            </w:r>
          </w:p>
        </w:tc>
        <w:tc>
          <w:tcPr>
            <w:tcW w:w="395"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w:t>
            </w:r>
          </w:p>
        </w:tc>
        <w:tc>
          <w:tcPr>
            <w:tcW w:w="35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w:t>
            </w:r>
          </w:p>
        </w:tc>
        <w:tc>
          <w:tcPr>
            <w:tcW w:w="395"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4</w:t>
            </w:r>
          </w:p>
        </w:tc>
        <w:tc>
          <w:tcPr>
            <w:tcW w:w="35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638</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308</w:t>
            </w:r>
          </w:p>
        </w:tc>
        <w:tc>
          <w:tcPr>
            <w:tcW w:w="496" w:type="dxa"/>
            <w:gridSpan w:val="2"/>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51</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10</w:t>
            </w:r>
          </w:p>
        </w:tc>
        <w:tc>
          <w:tcPr>
            <w:tcW w:w="566" w:type="dxa"/>
            <w:gridSpan w:val="2"/>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641</w:t>
            </w:r>
          </w:p>
        </w:tc>
        <w:tc>
          <w:tcPr>
            <w:tcW w:w="496" w:type="dxa"/>
            <w:tcBorders>
              <w:top w:val="nil"/>
              <w:left w:val="single" w:sz="8" w:space="0" w:color="auto"/>
              <w:bottom w:val="single" w:sz="4" w:space="0" w:color="auto"/>
              <w:right w:val="single" w:sz="8"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333</w:t>
            </w:r>
          </w:p>
        </w:tc>
        <w:tc>
          <w:tcPr>
            <w:tcW w:w="222" w:type="dxa"/>
            <w:vAlign w:val="center"/>
            <w:hideMark/>
          </w:tcPr>
          <w:p w:rsidR="00A35E9C" w:rsidRPr="000F013C" w:rsidRDefault="00A35E9C" w:rsidP="00A35E9C">
            <w:pPr>
              <w:rPr>
                <w:sz w:val="20"/>
                <w:lang w:val="hr-HR" w:eastAsia="hr-HR"/>
              </w:rPr>
            </w:pPr>
          </w:p>
        </w:tc>
      </w:tr>
      <w:tr w:rsidR="00A35E9C" w:rsidRPr="000F013C" w:rsidTr="00A35E9C">
        <w:trPr>
          <w:gridAfter w:val="1"/>
          <w:wAfter w:w="30" w:type="dxa"/>
          <w:trHeight w:val="414"/>
        </w:trPr>
        <w:tc>
          <w:tcPr>
            <w:tcW w:w="1119" w:type="dxa"/>
            <w:tcBorders>
              <w:top w:val="nil"/>
              <w:left w:val="single" w:sz="8" w:space="0" w:color="auto"/>
              <w:bottom w:val="single" w:sz="8" w:space="0" w:color="000000"/>
              <w:right w:val="nil"/>
            </w:tcBorders>
            <w:shd w:val="clear" w:color="auto" w:fill="auto"/>
            <w:noWrap/>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S.MOST</w:t>
            </w:r>
          </w:p>
        </w:tc>
        <w:tc>
          <w:tcPr>
            <w:tcW w:w="832"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3200</w:t>
            </w:r>
          </w:p>
        </w:tc>
        <w:tc>
          <w:tcPr>
            <w:tcW w:w="1157"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1649</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102</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71</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17</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13</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676</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436</w:t>
            </w:r>
          </w:p>
        </w:tc>
        <w:tc>
          <w:tcPr>
            <w:tcW w:w="395"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0</w:t>
            </w:r>
          </w:p>
        </w:tc>
        <w:tc>
          <w:tcPr>
            <w:tcW w:w="35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0</w:t>
            </w:r>
          </w:p>
        </w:tc>
        <w:tc>
          <w:tcPr>
            <w:tcW w:w="395"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34</w:t>
            </w:r>
          </w:p>
        </w:tc>
        <w:tc>
          <w:tcPr>
            <w:tcW w:w="35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3</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1099</w:t>
            </w:r>
          </w:p>
        </w:tc>
        <w:tc>
          <w:tcPr>
            <w:tcW w:w="49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475</w:t>
            </w:r>
          </w:p>
        </w:tc>
        <w:tc>
          <w:tcPr>
            <w:tcW w:w="496" w:type="dxa"/>
            <w:gridSpan w:val="2"/>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88</w:t>
            </w:r>
          </w:p>
        </w:tc>
        <w:tc>
          <w:tcPr>
            <w:tcW w:w="426" w:type="dxa"/>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27</w:t>
            </w:r>
          </w:p>
        </w:tc>
        <w:tc>
          <w:tcPr>
            <w:tcW w:w="566" w:type="dxa"/>
            <w:gridSpan w:val="2"/>
            <w:tcBorders>
              <w:top w:val="nil"/>
              <w:left w:val="single" w:sz="8" w:space="0" w:color="auto"/>
              <w:bottom w:val="single" w:sz="4"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1184</w:t>
            </w:r>
          </w:p>
        </w:tc>
        <w:tc>
          <w:tcPr>
            <w:tcW w:w="496" w:type="dxa"/>
            <w:tcBorders>
              <w:top w:val="nil"/>
              <w:left w:val="single" w:sz="8" w:space="0" w:color="auto"/>
              <w:bottom w:val="single" w:sz="4" w:space="0" w:color="auto"/>
              <w:right w:val="single" w:sz="8"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624</w:t>
            </w:r>
          </w:p>
        </w:tc>
        <w:tc>
          <w:tcPr>
            <w:tcW w:w="222" w:type="dxa"/>
            <w:vAlign w:val="center"/>
            <w:hideMark/>
          </w:tcPr>
          <w:p w:rsidR="00A35E9C" w:rsidRPr="000F013C" w:rsidRDefault="00A35E9C" w:rsidP="00A35E9C">
            <w:pPr>
              <w:rPr>
                <w:sz w:val="20"/>
                <w:lang w:val="hr-HR" w:eastAsia="hr-HR"/>
              </w:rPr>
            </w:pPr>
          </w:p>
        </w:tc>
      </w:tr>
      <w:tr w:rsidR="00A35E9C" w:rsidRPr="000F013C" w:rsidTr="00A35E9C">
        <w:trPr>
          <w:gridAfter w:val="1"/>
          <w:wAfter w:w="30" w:type="dxa"/>
          <w:trHeight w:val="414"/>
        </w:trPr>
        <w:tc>
          <w:tcPr>
            <w:tcW w:w="1119" w:type="dxa"/>
            <w:tcBorders>
              <w:top w:val="nil"/>
              <w:left w:val="single" w:sz="8" w:space="0" w:color="auto"/>
              <w:bottom w:val="single" w:sz="8" w:space="0" w:color="000000"/>
              <w:right w:val="nil"/>
            </w:tcBorders>
            <w:shd w:val="clear" w:color="auto" w:fill="auto"/>
            <w:noWrap/>
            <w:hideMark/>
          </w:tcPr>
          <w:p w:rsidR="00A35E9C" w:rsidRPr="000F013C" w:rsidRDefault="00A35E9C" w:rsidP="00A35E9C">
            <w:pPr>
              <w:jc w:val="center"/>
              <w:rPr>
                <w:rFonts w:ascii="Arial" w:hAnsi="Arial" w:cs="Arial"/>
                <w:sz w:val="14"/>
                <w:szCs w:val="14"/>
                <w:lang w:val="hr-HR" w:eastAsia="hr-HR"/>
              </w:rPr>
            </w:pPr>
            <w:r w:rsidRPr="000F013C">
              <w:rPr>
                <w:rFonts w:ascii="Arial" w:hAnsi="Arial" w:cs="Arial"/>
                <w:sz w:val="14"/>
                <w:szCs w:val="14"/>
                <w:lang w:val="hr-HR" w:eastAsia="hr-HR"/>
              </w:rPr>
              <w:t>V.KLADUŠA</w:t>
            </w:r>
          </w:p>
        </w:tc>
        <w:tc>
          <w:tcPr>
            <w:tcW w:w="832"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5867</w:t>
            </w:r>
          </w:p>
        </w:tc>
        <w:tc>
          <w:tcPr>
            <w:tcW w:w="1157"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3409</w:t>
            </w:r>
          </w:p>
        </w:tc>
        <w:tc>
          <w:tcPr>
            <w:tcW w:w="49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156</w:t>
            </w:r>
          </w:p>
        </w:tc>
        <w:tc>
          <w:tcPr>
            <w:tcW w:w="49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112</w:t>
            </w:r>
          </w:p>
        </w:tc>
        <w:tc>
          <w:tcPr>
            <w:tcW w:w="42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18</w:t>
            </w:r>
          </w:p>
        </w:tc>
        <w:tc>
          <w:tcPr>
            <w:tcW w:w="42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9</w:t>
            </w:r>
          </w:p>
        </w:tc>
        <w:tc>
          <w:tcPr>
            <w:tcW w:w="49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880</w:t>
            </w:r>
          </w:p>
        </w:tc>
        <w:tc>
          <w:tcPr>
            <w:tcW w:w="49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631</w:t>
            </w:r>
          </w:p>
        </w:tc>
        <w:tc>
          <w:tcPr>
            <w:tcW w:w="395"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0</w:t>
            </w:r>
          </w:p>
        </w:tc>
        <w:tc>
          <w:tcPr>
            <w:tcW w:w="35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0</w:t>
            </w:r>
          </w:p>
        </w:tc>
        <w:tc>
          <w:tcPr>
            <w:tcW w:w="395"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4</w:t>
            </w:r>
          </w:p>
        </w:tc>
        <w:tc>
          <w:tcPr>
            <w:tcW w:w="35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0</w:t>
            </w:r>
          </w:p>
        </w:tc>
        <w:tc>
          <w:tcPr>
            <w:tcW w:w="49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1505</w:t>
            </w:r>
          </w:p>
        </w:tc>
        <w:tc>
          <w:tcPr>
            <w:tcW w:w="49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760</w:t>
            </w:r>
          </w:p>
        </w:tc>
        <w:tc>
          <w:tcPr>
            <w:tcW w:w="496" w:type="dxa"/>
            <w:gridSpan w:val="2"/>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184</w:t>
            </w:r>
          </w:p>
        </w:tc>
        <w:tc>
          <w:tcPr>
            <w:tcW w:w="42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54</w:t>
            </w:r>
          </w:p>
        </w:tc>
        <w:tc>
          <w:tcPr>
            <w:tcW w:w="566" w:type="dxa"/>
            <w:gridSpan w:val="2"/>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3120</w:t>
            </w:r>
          </w:p>
        </w:tc>
        <w:tc>
          <w:tcPr>
            <w:tcW w:w="496" w:type="dxa"/>
            <w:tcBorders>
              <w:top w:val="nil"/>
              <w:left w:val="single" w:sz="8" w:space="0" w:color="auto"/>
              <w:bottom w:val="single" w:sz="8" w:space="0" w:color="auto"/>
              <w:right w:val="single" w:sz="8" w:space="0" w:color="auto"/>
            </w:tcBorders>
            <w:shd w:val="clear" w:color="auto" w:fill="auto"/>
            <w:vAlign w:val="bottom"/>
            <w:hideMark/>
          </w:tcPr>
          <w:p w:rsidR="00A35E9C" w:rsidRPr="000F013C" w:rsidRDefault="00A35E9C" w:rsidP="00A35E9C">
            <w:pPr>
              <w:jc w:val="center"/>
              <w:rPr>
                <w:sz w:val="14"/>
                <w:szCs w:val="14"/>
                <w:lang w:val="hr-HR" w:eastAsia="hr-HR"/>
              </w:rPr>
            </w:pPr>
            <w:r w:rsidRPr="000F013C">
              <w:rPr>
                <w:sz w:val="14"/>
                <w:szCs w:val="14"/>
                <w:lang w:val="hr-HR" w:eastAsia="hr-HR"/>
              </w:rPr>
              <w:t>1843</w:t>
            </w:r>
          </w:p>
        </w:tc>
        <w:tc>
          <w:tcPr>
            <w:tcW w:w="222" w:type="dxa"/>
            <w:vAlign w:val="center"/>
            <w:hideMark/>
          </w:tcPr>
          <w:p w:rsidR="00A35E9C" w:rsidRPr="000F013C" w:rsidRDefault="00A35E9C" w:rsidP="00A35E9C">
            <w:pPr>
              <w:rPr>
                <w:sz w:val="20"/>
                <w:lang w:val="hr-HR" w:eastAsia="hr-HR"/>
              </w:rPr>
            </w:pPr>
          </w:p>
        </w:tc>
      </w:tr>
      <w:tr w:rsidR="00A35E9C" w:rsidRPr="000F013C" w:rsidTr="00A35E9C">
        <w:trPr>
          <w:gridAfter w:val="1"/>
          <w:wAfter w:w="30" w:type="dxa"/>
          <w:trHeight w:val="414"/>
        </w:trPr>
        <w:tc>
          <w:tcPr>
            <w:tcW w:w="1119" w:type="dxa"/>
            <w:tcBorders>
              <w:top w:val="nil"/>
              <w:left w:val="single" w:sz="8" w:space="0" w:color="auto"/>
              <w:bottom w:val="single" w:sz="8" w:space="0" w:color="auto"/>
              <w:right w:val="nil"/>
            </w:tcBorders>
            <w:shd w:val="clear" w:color="auto" w:fill="auto"/>
            <w:vAlign w:val="center"/>
            <w:hideMark/>
          </w:tcPr>
          <w:p w:rsidR="00A35E9C" w:rsidRPr="000F013C" w:rsidRDefault="00A35E9C" w:rsidP="00A35E9C">
            <w:pPr>
              <w:jc w:val="center"/>
              <w:rPr>
                <w:rFonts w:ascii="Arial" w:hAnsi="Arial" w:cs="Arial"/>
                <w:b/>
                <w:bCs/>
                <w:sz w:val="14"/>
                <w:szCs w:val="14"/>
                <w:lang w:val="hr-HR" w:eastAsia="hr-HR"/>
              </w:rPr>
            </w:pPr>
            <w:r w:rsidRPr="000F013C">
              <w:rPr>
                <w:rFonts w:ascii="Arial" w:hAnsi="Arial" w:cs="Arial"/>
                <w:b/>
                <w:bCs/>
                <w:sz w:val="14"/>
                <w:szCs w:val="14"/>
                <w:lang w:val="hr-HR" w:eastAsia="hr-HR"/>
              </w:rPr>
              <w:t>SVEGA</w:t>
            </w:r>
          </w:p>
        </w:tc>
        <w:tc>
          <w:tcPr>
            <w:tcW w:w="832"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33685</w:t>
            </w:r>
          </w:p>
        </w:tc>
        <w:tc>
          <w:tcPr>
            <w:tcW w:w="1157"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18685</w:t>
            </w:r>
          </w:p>
        </w:tc>
        <w:tc>
          <w:tcPr>
            <w:tcW w:w="49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1591</w:t>
            </w:r>
          </w:p>
        </w:tc>
        <w:tc>
          <w:tcPr>
            <w:tcW w:w="49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1140</w:t>
            </w:r>
          </w:p>
        </w:tc>
        <w:tc>
          <w:tcPr>
            <w:tcW w:w="42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284</w:t>
            </w:r>
          </w:p>
        </w:tc>
        <w:tc>
          <w:tcPr>
            <w:tcW w:w="42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176</w:t>
            </w:r>
          </w:p>
        </w:tc>
        <w:tc>
          <w:tcPr>
            <w:tcW w:w="49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7166</w:t>
            </w:r>
          </w:p>
        </w:tc>
        <w:tc>
          <w:tcPr>
            <w:tcW w:w="49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4671</w:t>
            </w:r>
          </w:p>
        </w:tc>
        <w:tc>
          <w:tcPr>
            <w:tcW w:w="395"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34</w:t>
            </w:r>
          </w:p>
        </w:tc>
        <w:tc>
          <w:tcPr>
            <w:tcW w:w="35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30</w:t>
            </w:r>
          </w:p>
        </w:tc>
        <w:tc>
          <w:tcPr>
            <w:tcW w:w="395"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87</w:t>
            </w:r>
          </w:p>
        </w:tc>
        <w:tc>
          <w:tcPr>
            <w:tcW w:w="35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10</w:t>
            </w:r>
          </w:p>
        </w:tc>
        <w:tc>
          <w:tcPr>
            <w:tcW w:w="49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9378</w:t>
            </w:r>
          </w:p>
        </w:tc>
        <w:tc>
          <w:tcPr>
            <w:tcW w:w="49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4346</w:t>
            </w:r>
          </w:p>
        </w:tc>
        <w:tc>
          <w:tcPr>
            <w:tcW w:w="496" w:type="dxa"/>
            <w:gridSpan w:val="2"/>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1058</w:t>
            </w:r>
          </w:p>
        </w:tc>
        <w:tc>
          <w:tcPr>
            <w:tcW w:w="426" w:type="dxa"/>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325</w:t>
            </w:r>
          </w:p>
        </w:tc>
        <w:tc>
          <w:tcPr>
            <w:tcW w:w="566" w:type="dxa"/>
            <w:gridSpan w:val="2"/>
            <w:tcBorders>
              <w:top w:val="nil"/>
              <w:left w:val="single" w:sz="8" w:space="0" w:color="auto"/>
              <w:bottom w:val="single" w:sz="8" w:space="0" w:color="auto"/>
              <w:right w:val="single" w:sz="4"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14087</w:t>
            </w:r>
          </w:p>
        </w:tc>
        <w:tc>
          <w:tcPr>
            <w:tcW w:w="496" w:type="dxa"/>
            <w:tcBorders>
              <w:top w:val="nil"/>
              <w:left w:val="single" w:sz="8" w:space="0" w:color="auto"/>
              <w:bottom w:val="single" w:sz="8" w:space="0" w:color="auto"/>
              <w:right w:val="single" w:sz="8" w:space="0" w:color="auto"/>
            </w:tcBorders>
            <w:shd w:val="clear" w:color="auto" w:fill="auto"/>
            <w:vAlign w:val="bottom"/>
            <w:hideMark/>
          </w:tcPr>
          <w:p w:rsidR="00A35E9C" w:rsidRPr="000F013C" w:rsidRDefault="00A35E9C" w:rsidP="00A35E9C">
            <w:pPr>
              <w:jc w:val="center"/>
              <w:rPr>
                <w:b/>
                <w:bCs/>
                <w:sz w:val="14"/>
                <w:szCs w:val="14"/>
                <w:lang w:val="hr-HR" w:eastAsia="hr-HR"/>
              </w:rPr>
            </w:pPr>
            <w:r w:rsidRPr="000F013C">
              <w:rPr>
                <w:b/>
                <w:bCs/>
                <w:sz w:val="14"/>
                <w:szCs w:val="14"/>
                <w:lang w:val="hr-HR" w:eastAsia="hr-HR"/>
              </w:rPr>
              <w:t>7987</w:t>
            </w:r>
          </w:p>
        </w:tc>
        <w:tc>
          <w:tcPr>
            <w:tcW w:w="222" w:type="dxa"/>
            <w:vAlign w:val="center"/>
            <w:hideMark/>
          </w:tcPr>
          <w:p w:rsidR="00A35E9C" w:rsidRPr="000F013C" w:rsidRDefault="00A35E9C" w:rsidP="00A35E9C">
            <w:pPr>
              <w:rPr>
                <w:sz w:val="20"/>
                <w:lang w:val="hr-HR" w:eastAsia="hr-HR"/>
              </w:rPr>
            </w:pPr>
          </w:p>
        </w:tc>
      </w:tr>
    </w:tbl>
    <w:p w:rsidR="00A35E9C" w:rsidRDefault="00A35E9C" w:rsidP="00A35E9C">
      <w:pPr>
        <w:jc w:val="both"/>
        <w:rPr>
          <w:i/>
          <w:iCs/>
          <w:sz w:val="20"/>
          <w:lang w:val="bs-Latn-BA"/>
        </w:rPr>
      </w:pPr>
      <w:r w:rsidRPr="00205570">
        <w:rPr>
          <w:i/>
          <w:iCs/>
          <w:sz w:val="20"/>
          <w:lang w:val="bs-Latn-BA"/>
        </w:rPr>
        <w:t>Izvor</w:t>
      </w:r>
      <w:r>
        <w:rPr>
          <w:i/>
          <w:iCs/>
          <w:sz w:val="20"/>
          <w:lang w:val="bs-Latn-BA"/>
        </w:rPr>
        <w:t xml:space="preserve"> podataka</w:t>
      </w:r>
      <w:r w:rsidRPr="00205570">
        <w:rPr>
          <w:i/>
          <w:iCs/>
          <w:sz w:val="20"/>
          <w:lang w:val="bs-Latn-BA"/>
        </w:rPr>
        <w:t>: Bilten JU „ Služba za zapošljavanje USK-a“</w:t>
      </w:r>
      <w:r>
        <w:rPr>
          <w:i/>
          <w:iCs/>
          <w:sz w:val="20"/>
          <w:lang w:val="bs-Latn-BA"/>
        </w:rPr>
        <w:t xml:space="preserve"> Bihać</w:t>
      </w:r>
      <w:r w:rsidRPr="00205570">
        <w:rPr>
          <w:i/>
          <w:iCs/>
          <w:sz w:val="20"/>
          <w:lang w:val="bs-Latn-BA"/>
        </w:rPr>
        <w:t>, broj: 0</w:t>
      </w:r>
      <w:r>
        <w:rPr>
          <w:i/>
          <w:iCs/>
          <w:sz w:val="20"/>
          <w:lang w:val="bs-Latn-BA"/>
        </w:rPr>
        <w:t>3</w:t>
      </w:r>
      <w:r w:rsidRPr="00205570">
        <w:rPr>
          <w:i/>
          <w:iCs/>
          <w:sz w:val="20"/>
          <w:lang w:val="bs-Latn-BA"/>
        </w:rPr>
        <w:t>/</w:t>
      </w:r>
      <w:r>
        <w:rPr>
          <w:i/>
          <w:iCs/>
          <w:sz w:val="20"/>
          <w:lang w:val="bs-Latn-BA"/>
        </w:rPr>
        <w:t>20</w:t>
      </w:r>
    </w:p>
    <w:p w:rsidR="00A35E9C" w:rsidRPr="00F50423" w:rsidRDefault="00A35E9C" w:rsidP="00A35E9C">
      <w:pPr>
        <w:jc w:val="both"/>
        <w:rPr>
          <w:i/>
          <w:iCs/>
          <w:sz w:val="20"/>
          <w:lang w:val="bs-Latn-BA"/>
        </w:rPr>
      </w:pPr>
    </w:p>
    <w:p w:rsidR="00A35E9C" w:rsidRDefault="00A35E9C" w:rsidP="00A35E9C">
      <w:pPr>
        <w:jc w:val="both"/>
        <w:rPr>
          <w:sz w:val="24"/>
          <w:szCs w:val="24"/>
          <w:lang w:val="en-US" w:eastAsia="hr-HR"/>
        </w:rPr>
      </w:pPr>
    </w:p>
    <w:p w:rsidR="00A35E9C" w:rsidRDefault="00400744" w:rsidP="00A35E9C">
      <w:pPr>
        <w:jc w:val="both"/>
        <w:rPr>
          <w:sz w:val="24"/>
          <w:szCs w:val="24"/>
          <w:lang w:val="en-US" w:eastAsia="hr-HR"/>
        </w:rPr>
      </w:pPr>
      <w:r>
        <w:rPr>
          <w:noProof/>
          <w:lang w:val="hr-HR" w:eastAsia="hr-HR"/>
        </w:rPr>
        <w:drawing>
          <wp:inline distT="0" distB="0" distL="0" distR="0">
            <wp:extent cx="5367273" cy="2491482"/>
            <wp:effectExtent l="0" t="0" r="4827" b="4068"/>
            <wp:docPr id="2"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35E9C" w:rsidRDefault="00400744" w:rsidP="00A35E9C">
      <w:pPr>
        <w:jc w:val="both"/>
        <w:rPr>
          <w:sz w:val="24"/>
          <w:szCs w:val="24"/>
          <w:lang w:val="en-US" w:eastAsia="hr-HR"/>
        </w:rPr>
      </w:pPr>
      <w:r>
        <w:rPr>
          <w:noProof/>
          <w:lang w:val="hr-HR" w:eastAsia="hr-HR"/>
        </w:rPr>
        <w:lastRenderedPageBreak/>
        <w:drawing>
          <wp:inline distT="0" distB="0" distL="0" distR="0">
            <wp:extent cx="5532881" cy="2001263"/>
            <wp:effectExtent l="0" t="0" r="4319" b="5337"/>
            <wp:docPr id="3" name="Chart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35E9C" w:rsidRPr="006C2B16" w:rsidRDefault="00A35E9C" w:rsidP="00A35E9C">
      <w:pPr>
        <w:jc w:val="both"/>
        <w:rPr>
          <w:sz w:val="24"/>
          <w:szCs w:val="24"/>
          <w:lang w:val="en-US" w:eastAsia="hr-HR"/>
        </w:rPr>
      </w:pPr>
      <w:r>
        <w:rPr>
          <w:sz w:val="24"/>
          <w:szCs w:val="24"/>
          <w:lang w:val="en-US" w:eastAsia="hr-HR"/>
        </w:rPr>
        <w:t xml:space="preserve">Grafički prikazi zaposlenih lica na početku marta prema službenoj statistici </w:t>
      </w:r>
      <w:r w:rsidRPr="006C2B16">
        <w:rPr>
          <w:sz w:val="24"/>
          <w:szCs w:val="24"/>
          <w:lang w:val="bs-Latn-BA"/>
        </w:rPr>
        <w:t>JU „ Služba za zapošljavanje USK-a“ Bihać</w:t>
      </w:r>
      <w:r>
        <w:rPr>
          <w:sz w:val="24"/>
          <w:szCs w:val="24"/>
          <w:lang w:val="bs-Latn-BA"/>
        </w:rPr>
        <w:t>.</w:t>
      </w:r>
    </w:p>
    <w:p w:rsidR="00A35E9C" w:rsidRDefault="00A35E9C" w:rsidP="00A35E9C">
      <w:pPr>
        <w:jc w:val="both"/>
        <w:rPr>
          <w:sz w:val="24"/>
          <w:szCs w:val="24"/>
          <w:lang w:val="en-US" w:eastAsia="hr-HR"/>
        </w:rPr>
      </w:pPr>
      <w:r>
        <w:rPr>
          <w:sz w:val="24"/>
          <w:szCs w:val="24"/>
          <w:lang w:val="en-US" w:eastAsia="hr-HR"/>
        </w:rPr>
        <w:t>P</w:t>
      </w:r>
      <w:r w:rsidRPr="00B057CF">
        <w:rPr>
          <w:sz w:val="24"/>
          <w:szCs w:val="24"/>
          <w:lang w:val="en-US" w:eastAsia="hr-HR"/>
        </w:rPr>
        <w:t>osljedic</w:t>
      </w:r>
      <w:r>
        <w:rPr>
          <w:sz w:val="24"/>
          <w:szCs w:val="24"/>
          <w:lang w:val="en-US" w:eastAsia="hr-HR"/>
        </w:rPr>
        <w:t>e</w:t>
      </w:r>
      <w:r w:rsidRPr="00B057CF">
        <w:rPr>
          <w:sz w:val="24"/>
          <w:szCs w:val="24"/>
          <w:lang w:val="en-US" w:eastAsia="hr-HR"/>
        </w:rPr>
        <w:t xml:space="preserve"> krize izazvane pandemijom COVID-19</w:t>
      </w:r>
      <w:r>
        <w:rPr>
          <w:sz w:val="24"/>
          <w:szCs w:val="24"/>
          <w:lang w:val="en-US" w:eastAsia="hr-HR"/>
        </w:rPr>
        <w:t>,</w:t>
      </w:r>
      <w:r w:rsidRPr="00B057CF">
        <w:rPr>
          <w:sz w:val="24"/>
          <w:szCs w:val="24"/>
          <w:lang w:val="en-US" w:eastAsia="hr-HR"/>
        </w:rPr>
        <w:t xml:space="preserve"> kako na ekonomiju tako i na tržište rada</w:t>
      </w:r>
      <w:r>
        <w:rPr>
          <w:sz w:val="24"/>
          <w:szCs w:val="24"/>
          <w:lang w:val="en-US" w:eastAsia="hr-HR"/>
        </w:rPr>
        <w:t>, jasno su vidljive na broj zaposlenih/nezaposlenih na Unsko-sanskom kantonu prema službenim podacima dobivenim od strane Kantonalnog poreznog ureda Bihać u tabelarnom pregledu:</w:t>
      </w:r>
    </w:p>
    <w:p w:rsidR="00E6492A" w:rsidRDefault="00E6492A" w:rsidP="00A35E9C">
      <w:pPr>
        <w:jc w:val="both"/>
        <w:rPr>
          <w:sz w:val="24"/>
          <w:szCs w:val="24"/>
          <w:lang w:val="en-US" w:eastAsia="hr-HR"/>
        </w:rPr>
      </w:pPr>
    </w:p>
    <w:tbl>
      <w:tblPr>
        <w:tblW w:w="8180" w:type="dxa"/>
        <w:tblInd w:w="590" w:type="dxa"/>
        <w:tblLook w:val="04A0"/>
      </w:tblPr>
      <w:tblGrid>
        <w:gridCol w:w="3646"/>
        <w:gridCol w:w="1518"/>
        <w:gridCol w:w="1518"/>
        <w:gridCol w:w="1498"/>
      </w:tblGrid>
      <w:tr w:rsidR="00A35E9C" w:rsidRPr="003C7203" w:rsidTr="00A35E9C">
        <w:trPr>
          <w:trHeight w:val="270"/>
        </w:trPr>
        <w:tc>
          <w:tcPr>
            <w:tcW w:w="8180" w:type="dxa"/>
            <w:gridSpan w:val="4"/>
            <w:tcBorders>
              <w:top w:val="single" w:sz="8" w:space="0" w:color="auto"/>
              <w:left w:val="single" w:sz="8" w:space="0" w:color="auto"/>
              <w:bottom w:val="nil"/>
              <w:right w:val="single" w:sz="8" w:space="0" w:color="000000"/>
            </w:tcBorders>
            <w:shd w:val="clear" w:color="000000" w:fill="D0CECE"/>
            <w:noWrap/>
            <w:vAlign w:val="bottom"/>
            <w:hideMark/>
          </w:tcPr>
          <w:p w:rsidR="00A35E9C" w:rsidRPr="003C7203" w:rsidRDefault="00A35E9C" w:rsidP="00A35E9C">
            <w:pPr>
              <w:jc w:val="center"/>
              <w:rPr>
                <w:b/>
                <w:bCs/>
                <w:sz w:val="24"/>
                <w:szCs w:val="24"/>
                <w:lang w:val="hr-HR" w:eastAsia="hr-HR"/>
              </w:rPr>
            </w:pPr>
            <w:r w:rsidRPr="003C7203">
              <w:rPr>
                <w:b/>
                <w:bCs/>
                <w:sz w:val="24"/>
                <w:szCs w:val="24"/>
                <w:lang w:val="hr-HR" w:eastAsia="hr-HR"/>
              </w:rPr>
              <w:t>BROJ ZAPOSLENIH NA DAN</w:t>
            </w:r>
          </w:p>
        </w:tc>
      </w:tr>
      <w:tr w:rsidR="00A35E9C" w:rsidRPr="003C7203" w:rsidTr="00A35E9C">
        <w:trPr>
          <w:trHeight w:val="270"/>
        </w:trPr>
        <w:tc>
          <w:tcPr>
            <w:tcW w:w="364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35E9C" w:rsidRPr="003C7203" w:rsidRDefault="00A35E9C" w:rsidP="00A35E9C">
            <w:pPr>
              <w:rPr>
                <w:b/>
                <w:bCs/>
                <w:sz w:val="24"/>
                <w:szCs w:val="24"/>
                <w:lang w:val="hr-HR" w:eastAsia="hr-HR"/>
              </w:rPr>
            </w:pPr>
            <w:r w:rsidRPr="003C7203">
              <w:rPr>
                <w:b/>
                <w:bCs/>
                <w:sz w:val="24"/>
                <w:szCs w:val="24"/>
                <w:lang w:val="hr-HR" w:eastAsia="hr-HR"/>
              </w:rPr>
              <w:t>OPĆINA/GRAD</w:t>
            </w:r>
          </w:p>
        </w:tc>
        <w:tc>
          <w:tcPr>
            <w:tcW w:w="1518" w:type="dxa"/>
            <w:tcBorders>
              <w:top w:val="single" w:sz="8" w:space="0" w:color="auto"/>
              <w:left w:val="nil"/>
              <w:bottom w:val="single" w:sz="8" w:space="0" w:color="auto"/>
              <w:right w:val="single" w:sz="4" w:space="0" w:color="auto"/>
            </w:tcBorders>
            <w:shd w:val="clear" w:color="auto" w:fill="auto"/>
            <w:noWrap/>
            <w:vAlign w:val="center"/>
            <w:hideMark/>
          </w:tcPr>
          <w:p w:rsidR="00A35E9C" w:rsidRPr="003C7203" w:rsidRDefault="00A35E9C" w:rsidP="00A35E9C">
            <w:pPr>
              <w:jc w:val="center"/>
              <w:rPr>
                <w:rFonts w:ascii="Arial" w:hAnsi="Arial" w:cs="Arial"/>
                <w:b/>
                <w:bCs/>
                <w:sz w:val="20"/>
                <w:lang w:val="hr-HR" w:eastAsia="hr-HR"/>
              </w:rPr>
            </w:pPr>
            <w:r w:rsidRPr="003C7203">
              <w:rPr>
                <w:rFonts w:ascii="Arial" w:hAnsi="Arial" w:cs="Arial"/>
                <w:b/>
                <w:bCs/>
                <w:sz w:val="20"/>
                <w:lang w:val="hr-HR" w:eastAsia="hr-HR"/>
              </w:rPr>
              <w:t>15.3.2020</w:t>
            </w:r>
          </w:p>
        </w:tc>
        <w:tc>
          <w:tcPr>
            <w:tcW w:w="1518" w:type="dxa"/>
            <w:tcBorders>
              <w:top w:val="single" w:sz="8" w:space="0" w:color="auto"/>
              <w:left w:val="nil"/>
              <w:bottom w:val="single" w:sz="8" w:space="0" w:color="auto"/>
              <w:right w:val="single" w:sz="4" w:space="0" w:color="auto"/>
            </w:tcBorders>
            <w:shd w:val="clear" w:color="auto" w:fill="auto"/>
            <w:noWrap/>
            <w:vAlign w:val="center"/>
            <w:hideMark/>
          </w:tcPr>
          <w:p w:rsidR="00A35E9C" w:rsidRPr="003C7203" w:rsidRDefault="00A35E9C" w:rsidP="00A35E9C">
            <w:pPr>
              <w:jc w:val="center"/>
              <w:rPr>
                <w:rFonts w:ascii="Arial" w:hAnsi="Arial" w:cs="Arial"/>
                <w:b/>
                <w:bCs/>
                <w:sz w:val="20"/>
                <w:lang w:val="hr-HR" w:eastAsia="hr-HR"/>
              </w:rPr>
            </w:pPr>
            <w:r w:rsidRPr="003C7203">
              <w:rPr>
                <w:rFonts w:ascii="Arial" w:hAnsi="Arial" w:cs="Arial"/>
                <w:b/>
                <w:bCs/>
                <w:sz w:val="20"/>
                <w:lang w:val="hr-HR" w:eastAsia="hr-HR"/>
              </w:rPr>
              <w:t>21.5.2020</w:t>
            </w:r>
          </w:p>
        </w:tc>
        <w:tc>
          <w:tcPr>
            <w:tcW w:w="1498" w:type="dxa"/>
            <w:tcBorders>
              <w:top w:val="single" w:sz="8" w:space="0" w:color="auto"/>
              <w:left w:val="nil"/>
              <w:bottom w:val="single" w:sz="8" w:space="0" w:color="auto"/>
              <w:right w:val="single" w:sz="8" w:space="0" w:color="auto"/>
            </w:tcBorders>
            <w:shd w:val="clear" w:color="auto" w:fill="auto"/>
            <w:noWrap/>
            <w:vAlign w:val="center"/>
            <w:hideMark/>
          </w:tcPr>
          <w:p w:rsidR="00A35E9C" w:rsidRPr="003C7203" w:rsidRDefault="00A35E9C" w:rsidP="00A35E9C">
            <w:pPr>
              <w:jc w:val="center"/>
              <w:rPr>
                <w:rFonts w:ascii="Arial" w:hAnsi="Arial" w:cs="Arial"/>
                <w:b/>
                <w:bCs/>
                <w:sz w:val="20"/>
                <w:lang w:val="hr-HR" w:eastAsia="hr-HR"/>
              </w:rPr>
            </w:pPr>
            <w:r w:rsidRPr="003C7203">
              <w:rPr>
                <w:rFonts w:ascii="Arial" w:hAnsi="Arial" w:cs="Arial"/>
                <w:b/>
                <w:bCs/>
                <w:sz w:val="20"/>
                <w:lang w:val="hr-HR" w:eastAsia="hr-HR"/>
              </w:rPr>
              <w:t>RAZLIKA</w:t>
            </w:r>
          </w:p>
        </w:tc>
      </w:tr>
      <w:tr w:rsidR="00A35E9C" w:rsidRPr="003C7203" w:rsidTr="00A35E9C">
        <w:trPr>
          <w:trHeight w:val="255"/>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A35E9C" w:rsidRPr="003C7203" w:rsidRDefault="00A35E9C" w:rsidP="00A35E9C">
            <w:pPr>
              <w:rPr>
                <w:sz w:val="24"/>
                <w:szCs w:val="24"/>
                <w:lang w:val="hr-HR" w:eastAsia="hr-HR"/>
              </w:rPr>
            </w:pPr>
            <w:r w:rsidRPr="003C7203">
              <w:rPr>
                <w:sz w:val="24"/>
                <w:szCs w:val="24"/>
                <w:lang w:val="hr-HR" w:eastAsia="hr-HR"/>
              </w:rPr>
              <w:t>BIHAĆ</w:t>
            </w:r>
          </w:p>
        </w:tc>
        <w:tc>
          <w:tcPr>
            <w:tcW w:w="1518" w:type="dxa"/>
            <w:tcBorders>
              <w:top w:val="nil"/>
              <w:left w:val="nil"/>
              <w:bottom w:val="single" w:sz="4" w:space="0" w:color="auto"/>
              <w:right w:val="single" w:sz="4"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13.994</w:t>
            </w:r>
          </w:p>
        </w:tc>
        <w:tc>
          <w:tcPr>
            <w:tcW w:w="1518" w:type="dxa"/>
            <w:tcBorders>
              <w:top w:val="nil"/>
              <w:left w:val="nil"/>
              <w:bottom w:val="single" w:sz="4" w:space="0" w:color="auto"/>
              <w:right w:val="single" w:sz="4"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13.171</w:t>
            </w:r>
          </w:p>
        </w:tc>
        <w:tc>
          <w:tcPr>
            <w:tcW w:w="1498" w:type="dxa"/>
            <w:tcBorders>
              <w:top w:val="nil"/>
              <w:left w:val="nil"/>
              <w:bottom w:val="single" w:sz="4" w:space="0" w:color="auto"/>
              <w:right w:val="single" w:sz="8"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-823</w:t>
            </w:r>
          </w:p>
        </w:tc>
      </w:tr>
      <w:tr w:rsidR="00A35E9C" w:rsidRPr="003C7203" w:rsidTr="00A35E9C">
        <w:trPr>
          <w:trHeight w:val="255"/>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A35E9C" w:rsidRPr="003C7203" w:rsidRDefault="00A35E9C" w:rsidP="00A35E9C">
            <w:pPr>
              <w:rPr>
                <w:sz w:val="24"/>
                <w:szCs w:val="24"/>
                <w:lang w:val="hr-HR" w:eastAsia="hr-HR"/>
              </w:rPr>
            </w:pPr>
            <w:r w:rsidRPr="003C7203">
              <w:rPr>
                <w:sz w:val="24"/>
                <w:szCs w:val="24"/>
                <w:lang w:val="hr-HR" w:eastAsia="hr-HR"/>
              </w:rPr>
              <w:t>BOSANSKA KRUPA</w:t>
            </w:r>
          </w:p>
        </w:tc>
        <w:tc>
          <w:tcPr>
            <w:tcW w:w="1518" w:type="dxa"/>
            <w:tcBorders>
              <w:top w:val="nil"/>
              <w:left w:val="nil"/>
              <w:bottom w:val="single" w:sz="4" w:space="0" w:color="auto"/>
              <w:right w:val="single" w:sz="4"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3.387</w:t>
            </w:r>
          </w:p>
        </w:tc>
        <w:tc>
          <w:tcPr>
            <w:tcW w:w="1518" w:type="dxa"/>
            <w:tcBorders>
              <w:top w:val="nil"/>
              <w:left w:val="nil"/>
              <w:bottom w:val="single" w:sz="4" w:space="0" w:color="auto"/>
              <w:right w:val="single" w:sz="4"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3.220</w:t>
            </w:r>
          </w:p>
        </w:tc>
        <w:tc>
          <w:tcPr>
            <w:tcW w:w="1498" w:type="dxa"/>
            <w:tcBorders>
              <w:top w:val="nil"/>
              <w:left w:val="nil"/>
              <w:bottom w:val="single" w:sz="4" w:space="0" w:color="auto"/>
              <w:right w:val="single" w:sz="8"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-167</w:t>
            </w:r>
          </w:p>
        </w:tc>
      </w:tr>
      <w:tr w:rsidR="00A35E9C" w:rsidRPr="003C7203" w:rsidTr="00A35E9C">
        <w:trPr>
          <w:trHeight w:val="255"/>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A35E9C" w:rsidRPr="003C7203" w:rsidRDefault="00A35E9C" w:rsidP="00A35E9C">
            <w:pPr>
              <w:rPr>
                <w:sz w:val="24"/>
                <w:szCs w:val="24"/>
                <w:lang w:val="hr-HR" w:eastAsia="hr-HR"/>
              </w:rPr>
            </w:pPr>
            <w:r w:rsidRPr="003C7203">
              <w:rPr>
                <w:sz w:val="24"/>
                <w:szCs w:val="24"/>
                <w:lang w:val="hr-HR" w:eastAsia="hr-HR"/>
              </w:rPr>
              <w:t>BOSANSKI PETROVAC</w:t>
            </w:r>
          </w:p>
        </w:tc>
        <w:tc>
          <w:tcPr>
            <w:tcW w:w="1518" w:type="dxa"/>
            <w:tcBorders>
              <w:top w:val="nil"/>
              <w:left w:val="nil"/>
              <w:bottom w:val="single" w:sz="4" w:space="0" w:color="auto"/>
              <w:right w:val="single" w:sz="4"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1.294</w:t>
            </w:r>
          </w:p>
        </w:tc>
        <w:tc>
          <w:tcPr>
            <w:tcW w:w="1518" w:type="dxa"/>
            <w:tcBorders>
              <w:top w:val="nil"/>
              <w:left w:val="nil"/>
              <w:bottom w:val="single" w:sz="4" w:space="0" w:color="auto"/>
              <w:right w:val="single" w:sz="4"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1.269</w:t>
            </w:r>
          </w:p>
        </w:tc>
        <w:tc>
          <w:tcPr>
            <w:tcW w:w="1498" w:type="dxa"/>
            <w:tcBorders>
              <w:top w:val="nil"/>
              <w:left w:val="nil"/>
              <w:bottom w:val="single" w:sz="4" w:space="0" w:color="auto"/>
              <w:right w:val="single" w:sz="8"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-25</w:t>
            </w:r>
          </w:p>
        </w:tc>
      </w:tr>
      <w:tr w:rsidR="00A35E9C" w:rsidRPr="003C7203" w:rsidTr="00A35E9C">
        <w:trPr>
          <w:trHeight w:val="255"/>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A35E9C" w:rsidRPr="003C7203" w:rsidRDefault="00A35E9C" w:rsidP="00A35E9C">
            <w:pPr>
              <w:rPr>
                <w:sz w:val="24"/>
                <w:szCs w:val="24"/>
                <w:lang w:val="hr-HR" w:eastAsia="hr-HR"/>
              </w:rPr>
            </w:pPr>
            <w:r w:rsidRPr="003C7203">
              <w:rPr>
                <w:sz w:val="24"/>
                <w:szCs w:val="24"/>
                <w:lang w:val="hr-HR" w:eastAsia="hr-HR"/>
              </w:rPr>
              <w:t>BUŽIM</w:t>
            </w:r>
          </w:p>
        </w:tc>
        <w:tc>
          <w:tcPr>
            <w:tcW w:w="1518" w:type="dxa"/>
            <w:tcBorders>
              <w:top w:val="nil"/>
              <w:left w:val="nil"/>
              <w:bottom w:val="single" w:sz="4" w:space="0" w:color="auto"/>
              <w:right w:val="single" w:sz="4"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1.488</w:t>
            </w:r>
          </w:p>
        </w:tc>
        <w:tc>
          <w:tcPr>
            <w:tcW w:w="1518" w:type="dxa"/>
            <w:tcBorders>
              <w:top w:val="nil"/>
              <w:left w:val="nil"/>
              <w:bottom w:val="single" w:sz="4" w:space="0" w:color="auto"/>
              <w:right w:val="single" w:sz="4"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1.406</w:t>
            </w:r>
          </w:p>
        </w:tc>
        <w:tc>
          <w:tcPr>
            <w:tcW w:w="1498" w:type="dxa"/>
            <w:tcBorders>
              <w:top w:val="nil"/>
              <w:left w:val="nil"/>
              <w:bottom w:val="single" w:sz="4" w:space="0" w:color="auto"/>
              <w:right w:val="single" w:sz="8"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-82</w:t>
            </w:r>
          </w:p>
        </w:tc>
      </w:tr>
      <w:tr w:rsidR="00A35E9C" w:rsidRPr="003C7203" w:rsidTr="00A35E9C">
        <w:trPr>
          <w:trHeight w:val="255"/>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A35E9C" w:rsidRPr="003C7203" w:rsidRDefault="00A35E9C" w:rsidP="00A35E9C">
            <w:pPr>
              <w:rPr>
                <w:sz w:val="24"/>
                <w:szCs w:val="24"/>
                <w:lang w:val="hr-HR" w:eastAsia="hr-HR"/>
              </w:rPr>
            </w:pPr>
            <w:r w:rsidRPr="003C7203">
              <w:rPr>
                <w:sz w:val="24"/>
                <w:szCs w:val="24"/>
                <w:lang w:val="hr-HR" w:eastAsia="hr-HR"/>
              </w:rPr>
              <w:t>CAZIN</w:t>
            </w:r>
          </w:p>
        </w:tc>
        <w:tc>
          <w:tcPr>
            <w:tcW w:w="1518" w:type="dxa"/>
            <w:tcBorders>
              <w:top w:val="nil"/>
              <w:left w:val="nil"/>
              <w:bottom w:val="single" w:sz="4" w:space="0" w:color="auto"/>
              <w:right w:val="single" w:sz="4"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7.288</w:t>
            </w:r>
          </w:p>
        </w:tc>
        <w:tc>
          <w:tcPr>
            <w:tcW w:w="1518" w:type="dxa"/>
            <w:tcBorders>
              <w:top w:val="nil"/>
              <w:left w:val="nil"/>
              <w:bottom w:val="single" w:sz="4" w:space="0" w:color="auto"/>
              <w:right w:val="single" w:sz="4"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6.892</w:t>
            </w:r>
          </w:p>
        </w:tc>
        <w:tc>
          <w:tcPr>
            <w:tcW w:w="1498" w:type="dxa"/>
            <w:tcBorders>
              <w:top w:val="nil"/>
              <w:left w:val="nil"/>
              <w:bottom w:val="single" w:sz="4" w:space="0" w:color="auto"/>
              <w:right w:val="single" w:sz="8"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-396</w:t>
            </w:r>
          </w:p>
        </w:tc>
      </w:tr>
      <w:tr w:rsidR="00A35E9C" w:rsidRPr="003C7203" w:rsidTr="00A35E9C">
        <w:trPr>
          <w:trHeight w:val="255"/>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A35E9C" w:rsidRPr="003C7203" w:rsidRDefault="00A35E9C" w:rsidP="00A35E9C">
            <w:pPr>
              <w:rPr>
                <w:sz w:val="24"/>
                <w:szCs w:val="24"/>
                <w:lang w:val="hr-HR" w:eastAsia="hr-HR"/>
              </w:rPr>
            </w:pPr>
            <w:r w:rsidRPr="003C7203">
              <w:rPr>
                <w:sz w:val="24"/>
                <w:szCs w:val="24"/>
                <w:lang w:val="hr-HR" w:eastAsia="hr-HR"/>
              </w:rPr>
              <w:t>KLJUČ</w:t>
            </w:r>
          </w:p>
        </w:tc>
        <w:tc>
          <w:tcPr>
            <w:tcW w:w="1518" w:type="dxa"/>
            <w:tcBorders>
              <w:top w:val="nil"/>
              <w:left w:val="nil"/>
              <w:bottom w:val="single" w:sz="4" w:space="0" w:color="auto"/>
              <w:right w:val="single" w:sz="4"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1.597</w:t>
            </w:r>
          </w:p>
        </w:tc>
        <w:tc>
          <w:tcPr>
            <w:tcW w:w="1518" w:type="dxa"/>
            <w:tcBorders>
              <w:top w:val="nil"/>
              <w:left w:val="nil"/>
              <w:bottom w:val="single" w:sz="4" w:space="0" w:color="auto"/>
              <w:right w:val="single" w:sz="4"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1.497</w:t>
            </w:r>
          </w:p>
        </w:tc>
        <w:tc>
          <w:tcPr>
            <w:tcW w:w="1498" w:type="dxa"/>
            <w:tcBorders>
              <w:top w:val="nil"/>
              <w:left w:val="nil"/>
              <w:bottom w:val="single" w:sz="4" w:space="0" w:color="auto"/>
              <w:right w:val="single" w:sz="8"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-100</w:t>
            </w:r>
          </w:p>
        </w:tc>
      </w:tr>
      <w:tr w:rsidR="00A35E9C" w:rsidRPr="003C7203" w:rsidTr="00A35E9C">
        <w:trPr>
          <w:trHeight w:val="255"/>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A35E9C" w:rsidRPr="003C7203" w:rsidRDefault="00A35E9C" w:rsidP="00A35E9C">
            <w:pPr>
              <w:rPr>
                <w:sz w:val="24"/>
                <w:szCs w:val="24"/>
                <w:lang w:val="hr-HR" w:eastAsia="hr-HR"/>
              </w:rPr>
            </w:pPr>
            <w:r w:rsidRPr="003C7203">
              <w:rPr>
                <w:sz w:val="24"/>
                <w:szCs w:val="24"/>
                <w:lang w:val="hr-HR" w:eastAsia="hr-HR"/>
              </w:rPr>
              <w:t>SANSKI MOST</w:t>
            </w:r>
          </w:p>
        </w:tc>
        <w:tc>
          <w:tcPr>
            <w:tcW w:w="1518" w:type="dxa"/>
            <w:tcBorders>
              <w:top w:val="nil"/>
              <w:left w:val="nil"/>
              <w:bottom w:val="single" w:sz="4" w:space="0" w:color="auto"/>
              <w:right w:val="single" w:sz="4"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4.424</w:t>
            </w:r>
          </w:p>
        </w:tc>
        <w:tc>
          <w:tcPr>
            <w:tcW w:w="1518" w:type="dxa"/>
            <w:tcBorders>
              <w:top w:val="nil"/>
              <w:left w:val="nil"/>
              <w:bottom w:val="single" w:sz="4" w:space="0" w:color="auto"/>
              <w:right w:val="single" w:sz="4"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4.263</w:t>
            </w:r>
          </w:p>
        </w:tc>
        <w:tc>
          <w:tcPr>
            <w:tcW w:w="1498" w:type="dxa"/>
            <w:tcBorders>
              <w:top w:val="nil"/>
              <w:left w:val="nil"/>
              <w:bottom w:val="single" w:sz="4" w:space="0" w:color="auto"/>
              <w:right w:val="single" w:sz="8"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-161</w:t>
            </w:r>
          </w:p>
        </w:tc>
      </w:tr>
      <w:tr w:rsidR="00A35E9C" w:rsidRPr="003C7203" w:rsidTr="00A35E9C">
        <w:trPr>
          <w:trHeight w:val="270"/>
        </w:trPr>
        <w:tc>
          <w:tcPr>
            <w:tcW w:w="3646" w:type="dxa"/>
            <w:tcBorders>
              <w:top w:val="nil"/>
              <w:left w:val="single" w:sz="8" w:space="0" w:color="auto"/>
              <w:bottom w:val="nil"/>
              <w:right w:val="single" w:sz="4" w:space="0" w:color="auto"/>
            </w:tcBorders>
            <w:shd w:val="clear" w:color="auto" w:fill="auto"/>
            <w:noWrap/>
            <w:vAlign w:val="bottom"/>
            <w:hideMark/>
          </w:tcPr>
          <w:p w:rsidR="00A35E9C" w:rsidRPr="003C7203" w:rsidRDefault="00A35E9C" w:rsidP="00A35E9C">
            <w:pPr>
              <w:rPr>
                <w:sz w:val="24"/>
                <w:szCs w:val="24"/>
                <w:lang w:val="hr-HR" w:eastAsia="hr-HR"/>
              </w:rPr>
            </w:pPr>
            <w:r w:rsidRPr="003C7203">
              <w:rPr>
                <w:sz w:val="24"/>
                <w:szCs w:val="24"/>
                <w:lang w:val="hr-HR" w:eastAsia="hr-HR"/>
              </w:rPr>
              <w:t>VELIKA KLADUŠA</w:t>
            </w:r>
          </w:p>
        </w:tc>
        <w:tc>
          <w:tcPr>
            <w:tcW w:w="1518" w:type="dxa"/>
            <w:tcBorders>
              <w:top w:val="nil"/>
              <w:left w:val="nil"/>
              <w:bottom w:val="nil"/>
              <w:right w:val="single" w:sz="4"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5.176</w:t>
            </w:r>
          </w:p>
        </w:tc>
        <w:tc>
          <w:tcPr>
            <w:tcW w:w="1518" w:type="dxa"/>
            <w:tcBorders>
              <w:top w:val="nil"/>
              <w:left w:val="nil"/>
              <w:bottom w:val="nil"/>
              <w:right w:val="single" w:sz="4"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4.869</w:t>
            </w:r>
          </w:p>
        </w:tc>
        <w:tc>
          <w:tcPr>
            <w:tcW w:w="1498" w:type="dxa"/>
            <w:tcBorders>
              <w:top w:val="nil"/>
              <w:left w:val="nil"/>
              <w:bottom w:val="nil"/>
              <w:right w:val="single" w:sz="8" w:space="0" w:color="auto"/>
            </w:tcBorders>
            <w:shd w:val="clear" w:color="auto" w:fill="auto"/>
            <w:noWrap/>
            <w:vAlign w:val="bottom"/>
            <w:hideMark/>
          </w:tcPr>
          <w:p w:rsidR="00A35E9C" w:rsidRPr="003C7203" w:rsidRDefault="00A35E9C" w:rsidP="00A35E9C">
            <w:pPr>
              <w:jc w:val="right"/>
              <w:rPr>
                <w:rFonts w:ascii="Arial" w:hAnsi="Arial" w:cs="Arial"/>
                <w:sz w:val="20"/>
                <w:lang w:val="hr-HR" w:eastAsia="hr-HR"/>
              </w:rPr>
            </w:pPr>
            <w:r w:rsidRPr="003C7203">
              <w:rPr>
                <w:rFonts w:ascii="Arial" w:hAnsi="Arial" w:cs="Arial"/>
                <w:sz w:val="20"/>
                <w:lang w:val="hr-HR" w:eastAsia="hr-HR"/>
              </w:rPr>
              <w:t>-307</w:t>
            </w:r>
          </w:p>
        </w:tc>
      </w:tr>
      <w:tr w:rsidR="00A35E9C" w:rsidRPr="003C7203" w:rsidTr="00A35E9C">
        <w:trPr>
          <w:trHeight w:val="270"/>
        </w:trPr>
        <w:tc>
          <w:tcPr>
            <w:tcW w:w="364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35E9C" w:rsidRPr="003C7203" w:rsidRDefault="00A35E9C" w:rsidP="00A35E9C">
            <w:pPr>
              <w:rPr>
                <w:b/>
                <w:bCs/>
                <w:sz w:val="24"/>
                <w:szCs w:val="24"/>
                <w:lang w:val="hr-HR" w:eastAsia="hr-HR"/>
              </w:rPr>
            </w:pPr>
            <w:r w:rsidRPr="003C7203">
              <w:rPr>
                <w:b/>
                <w:bCs/>
                <w:sz w:val="24"/>
                <w:szCs w:val="24"/>
                <w:lang w:val="hr-HR" w:eastAsia="hr-HR"/>
              </w:rPr>
              <w:t>UKUPNO</w:t>
            </w:r>
          </w:p>
        </w:tc>
        <w:tc>
          <w:tcPr>
            <w:tcW w:w="1518" w:type="dxa"/>
            <w:tcBorders>
              <w:top w:val="single" w:sz="8" w:space="0" w:color="auto"/>
              <w:left w:val="nil"/>
              <w:bottom w:val="single" w:sz="8" w:space="0" w:color="auto"/>
              <w:right w:val="single" w:sz="4" w:space="0" w:color="auto"/>
            </w:tcBorders>
            <w:shd w:val="clear" w:color="auto" w:fill="auto"/>
            <w:noWrap/>
            <w:vAlign w:val="bottom"/>
            <w:hideMark/>
          </w:tcPr>
          <w:p w:rsidR="00A35E9C" w:rsidRPr="003C7203" w:rsidRDefault="00A35E9C" w:rsidP="00A35E9C">
            <w:pPr>
              <w:jc w:val="right"/>
              <w:rPr>
                <w:rFonts w:ascii="Arial" w:hAnsi="Arial" w:cs="Arial"/>
                <w:b/>
                <w:bCs/>
                <w:sz w:val="20"/>
                <w:lang w:val="hr-HR" w:eastAsia="hr-HR"/>
              </w:rPr>
            </w:pPr>
            <w:r w:rsidRPr="003C7203">
              <w:rPr>
                <w:rFonts w:ascii="Arial" w:hAnsi="Arial" w:cs="Arial"/>
                <w:b/>
                <w:bCs/>
                <w:sz w:val="20"/>
                <w:lang w:val="hr-HR" w:eastAsia="hr-HR"/>
              </w:rPr>
              <w:t>38.648</w:t>
            </w:r>
          </w:p>
        </w:tc>
        <w:tc>
          <w:tcPr>
            <w:tcW w:w="1518" w:type="dxa"/>
            <w:tcBorders>
              <w:top w:val="single" w:sz="8" w:space="0" w:color="auto"/>
              <w:left w:val="nil"/>
              <w:bottom w:val="single" w:sz="8" w:space="0" w:color="auto"/>
              <w:right w:val="single" w:sz="4" w:space="0" w:color="auto"/>
            </w:tcBorders>
            <w:shd w:val="clear" w:color="auto" w:fill="auto"/>
            <w:noWrap/>
            <w:vAlign w:val="bottom"/>
            <w:hideMark/>
          </w:tcPr>
          <w:p w:rsidR="00A35E9C" w:rsidRPr="003C7203" w:rsidRDefault="00A35E9C" w:rsidP="00A35E9C">
            <w:pPr>
              <w:jc w:val="right"/>
              <w:rPr>
                <w:rFonts w:ascii="Arial" w:hAnsi="Arial" w:cs="Arial"/>
                <w:b/>
                <w:bCs/>
                <w:sz w:val="20"/>
                <w:lang w:val="hr-HR" w:eastAsia="hr-HR"/>
              </w:rPr>
            </w:pPr>
            <w:r w:rsidRPr="003C7203">
              <w:rPr>
                <w:rFonts w:ascii="Arial" w:hAnsi="Arial" w:cs="Arial"/>
                <w:b/>
                <w:bCs/>
                <w:sz w:val="20"/>
                <w:lang w:val="hr-HR" w:eastAsia="hr-HR"/>
              </w:rPr>
              <w:t>36.587</w:t>
            </w:r>
          </w:p>
        </w:tc>
        <w:tc>
          <w:tcPr>
            <w:tcW w:w="1498" w:type="dxa"/>
            <w:tcBorders>
              <w:top w:val="single" w:sz="8" w:space="0" w:color="auto"/>
              <w:left w:val="nil"/>
              <w:bottom w:val="single" w:sz="8" w:space="0" w:color="auto"/>
              <w:right w:val="single" w:sz="8" w:space="0" w:color="auto"/>
            </w:tcBorders>
            <w:shd w:val="clear" w:color="auto" w:fill="auto"/>
            <w:noWrap/>
            <w:vAlign w:val="bottom"/>
            <w:hideMark/>
          </w:tcPr>
          <w:p w:rsidR="00A35E9C" w:rsidRPr="003C7203" w:rsidRDefault="00A35E9C" w:rsidP="00A35E9C">
            <w:pPr>
              <w:jc w:val="right"/>
              <w:rPr>
                <w:rFonts w:ascii="Arial" w:hAnsi="Arial" w:cs="Arial"/>
                <w:b/>
                <w:bCs/>
                <w:sz w:val="20"/>
                <w:lang w:val="hr-HR" w:eastAsia="hr-HR"/>
              </w:rPr>
            </w:pPr>
            <w:r w:rsidRPr="003C7203">
              <w:rPr>
                <w:rFonts w:ascii="Arial" w:hAnsi="Arial" w:cs="Arial"/>
                <w:b/>
                <w:bCs/>
                <w:sz w:val="20"/>
                <w:lang w:val="hr-HR" w:eastAsia="hr-HR"/>
              </w:rPr>
              <w:t>-2.061</w:t>
            </w:r>
          </w:p>
        </w:tc>
      </w:tr>
    </w:tbl>
    <w:p w:rsidR="00A35E9C" w:rsidRDefault="00A35E9C" w:rsidP="00A35E9C">
      <w:pPr>
        <w:jc w:val="both"/>
        <w:rPr>
          <w:sz w:val="24"/>
          <w:szCs w:val="24"/>
          <w:lang w:val="en-US" w:eastAsia="hr-HR"/>
        </w:rPr>
      </w:pPr>
    </w:p>
    <w:p w:rsidR="00A35E9C" w:rsidRDefault="00A35E9C" w:rsidP="00A35E9C">
      <w:pPr>
        <w:jc w:val="both"/>
        <w:rPr>
          <w:sz w:val="24"/>
          <w:szCs w:val="24"/>
          <w:lang w:val="en-US" w:eastAsia="hr-HR"/>
        </w:rPr>
      </w:pPr>
      <w:r>
        <w:rPr>
          <w:sz w:val="24"/>
          <w:szCs w:val="24"/>
          <w:lang w:val="en-US" w:eastAsia="hr-HR"/>
        </w:rPr>
        <w:t xml:space="preserve">Na osnovu podataka iz tabele vidljivo je da je u periodu od 15.03.2020. do 21.05.2020. godine broj zaposlenih se smanjio za 2061. </w:t>
      </w:r>
    </w:p>
    <w:p w:rsidR="00A35E9C" w:rsidRPr="000F4581" w:rsidRDefault="00A35E9C" w:rsidP="00A35E9C">
      <w:pPr>
        <w:jc w:val="center"/>
        <w:rPr>
          <w:iCs/>
          <w:sz w:val="24"/>
          <w:szCs w:val="24"/>
          <w:u w:val="single"/>
          <w:lang w:val="bs-Latn-BA"/>
        </w:rPr>
      </w:pPr>
      <w:r w:rsidRPr="000F4581">
        <w:rPr>
          <w:iCs/>
          <w:sz w:val="24"/>
          <w:szCs w:val="24"/>
          <w:u w:val="single"/>
          <w:lang w:val="bs-Latn-BA"/>
        </w:rPr>
        <w:t>Rizici</w:t>
      </w:r>
    </w:p>
    <w:p w:rsidR="00A35E9C" w:rsidRPr="008B7F3E" w:rsidRDefault="00A35E9C" w:rsidP="00A35E9C">
      <w:pPr>
        <w:jc w:val="both"/>
        <w:rPr>
          <w:iCs/>
          <w:sz w:val="24"/>
          <w:szCs w:val="24"/>
          <w:lang w:val="bs-Latn-BA"/>
        </w:rPr>
      </w:pPr>
      <w:r w:rsidRPr="000F4581">
        <w:rPr>
          <w:iCs/>
          <w:sz w:val="24"/>
          <w:szCs w:val="24"/>
          <w:lang w:val="bs-Latn-BA"/>
        </w:rPr>
        <w:t xml:space="preserve">Projekcije na tržištu rada u periodu 2020-2023. godine određene su značajno dešavanjima u okruženju odnosno poslovnim ambijentom kako u Bosni i Hercegovini tako i u EU i regionu. Prema tome, eventualna ekstenzija trenutnih dešavanja povodom COVID-19 i na drugu polovinu godine bi se mogla loše odraziti na ekonomiju Bosne i Hercegovine a potom i tržište rada. Uz niži ekonomski rast od pretpostavljenog (kao i investicija i trgovine) i broj zaposlenih lica bi mogao biti izrazito smanjen. Pored toga, smanjenje radne snage (migracije) i stepen implementacije planiranih strukturnih reformi u Bosni i Hercegovini mogao bi uticati na posmatrane indikatore tržišta rada odnosno na nivo kupovne moći i životnog standarda. Sve navedene promjene ujedno predstavljaju osnovne rizike za projekcije na tržištu rada.  </w:t>
      </w:r>
    </w:p>
    <w:p w:rsidR="00A35E9C" w:rsidRDefault="00A35E9C" w:rsidP="002661B1">
      <w:pPr>
        <w:rPr>
          <w:lang w:val="en-US"/>
        </w:rPr>
      </w:pPr>
    </w:p>
    <w:p w:rsidR="00DF425E" w:rsidRPr="009E4D49" w:rsidRDefault="00DF425E" w:rsidP="00DF425E">
      <w:pPr>
        <w:spacing w:line="276" w:lineRule="auto"/>
        <w:jc w:val="both"/>
        <w:rPr>
          <w:sz w:val="24"/>
          <w:szCs w:val="24"/>
        </w:rPr>
      </w:pPr>
    </w:p>
    <w:p w:rsidR="00DF425E" w:rsidRDefault="00DF425E" w:rsidP="002661B1">
      <w:pPr>
        <w:jc w:val="both"/>
        <w:rPr>
          <w:i/>
          <w:sz w:val="20"/>
          <w:lang w:val="bs-Latn-BA"/>
        </w:rPr>
      </w:pPr>
    </w:p>
    <w:p w:rsidR="002304F7" w:rsidRDefault="009E179F" w:rsidP="009E179F">
      <w:pPr>
        <w:jc w:val="both"/>
        <w:rPr>
          <w:sz w:val="24"/>
          <w:szCs w:val="24"/>
          <w:lang w:val="hr-BA"/>
        </w:rPr>
      </w:pPr>
      <w:r w:rsidRPr="009E179F">
        <w:rPr>
          <w:sz w:val="24"/>
          <w:szCs w:val="24"/>
          <w:lang w:val="hr-BA"/>
        </w:rPr>
        <w:tab/>
      </w:r>
    </w:p>
    <w:p w:rsidR="00BE678E" w:rsidRDefault="00BE678E" w:rsidP="006A414D">
      <w:pPr>
        <w:pStyle w:val="Heading2"/>
        <w:rPr>
          <w:color w:val="auto"/>
          <w:sz w:val="24"/>
          <w:szCs w:val="24"/>
        </w:rPr>
      </w:pPr>
      <w:bookmarkStart w:id="45" w:name="_Toc422899921"/>
    </w:p>
    <w:p w:rsidR="00040F4F" w:rsidRDefault="006A414D" w:rsidP="006A414D">
      <w:pPr>
        <w:pStyle w:val="Heading2"/>
        <w:rPr>
          <w:color w:val="auto"/>
          <w:sz w:val="24"/>
          <w:szCs w:val="24"/>
        </w:rPr>
      </w:pPr>
      <w:r w:rsidRPr="00BE678E">
        <w:rPr>
          <w:color w:val="auto"/>
          <w:sz w:val="24"/>
          <w:szCs w:val="24"/>
        </w:rPr>
        <w:t xml:space="preserve">1.4 </w:t>
      </w:r>
      <w:r w:rsidR="00BE678E" w:rsidRPr="00BE678E">
        <w:rPr>
          <w:color w:val="auto"/>
          <w:sz w:val="24"/>
          <w:szCs w:val="24"/>
        </w:rPr>
        <w:t>.</w:t>
      </w:r>
      <w:r w:rsidRPr="00BE678E">
        <w:rPr>
          <w:color w:val="auto"/>
          <w:sz w:val="24"/>
          <w:szCs w:val="24"/>
        </w:rPr>
        <w:t xml:space="preserve"> </w:t>
      </w:r>
      <w:r w:rsidR="00DB3176" w:rsidRPr="00BE678E">
        <w:rPr>
          <w:color w:val="auto"/>
          <w:sz w:val="24"/>
          <w:szCs w:val="24"/>
        </w:rPr>
        <w:t>Ci</w:t>
      </w:r>
      <w:r w:rsidR="00040F4F" w:rsidRPr="00BE678E">
        <w:rPr>
          <w:color w:val="auto"/>
          <w:sz w:val="24"/>
          <w:szCs w:val="24"/>
        </w:rPr>
        <w:t>jene</w:t>
      </w:r>
      <w:bookmarkEnd w:id="45"/>
    </w:p>
    <w:p w:rsidR="007357D1" w:rsidRDefault="007357D1" w:rsidP="007357D1">
      <w:pPr>
        <w:jc w:val="both"/>
        <w:rPr>
          <w:sz w:val="24"/>
          <w:szCs w:val="24"/>
          <w:lang w:val="en-US"/>
        </w:rPr>
      </w:pPr>
      <w:r w:rsidRPr="007357D1">
        <w:rPr>
          <w:sz w:val="24"/>
          <w:szCs w:val="24"/>
          <w:lang w:val="en-US"/>
        </w:rPr>
        <w:t>Prosječan rast ukupnog nivoa cijena u Bosni i Hercegovini u 2019. godini bio je znatno sporiji u odnosu na prethodnu godinu.14 U periodu I-XII 2019/I-XII 2018 prosječna inflacija mjerena indeksom potrošačkih cijena je iznosila 0,6%. Niskoj stopi inflacije doprinijelo je smanjenje kao i skroman rast cijena u pojedinim odjeljcima indeksa potrošačkih cijena. U periodu I-XII 2019/I-XII 2018 najbrži rast cijena bio je u odjeljku alkoholnih pića i duvana (5,1%). Rast cijena duvana i cigareta u 2019. godini podstaknut je povećanjem akciza na duvan i cigarete odnosno usklađivanjem sa zakonodavstvom Evropske unije.15 U odjeljku stanovanja, vode, el. energije, plina i dr. energenata cijene su u posmatranom periodu uvećane za 2,4% g/g zbog povećanja cijena tečnih i čvrstih goriva, vodosnabdijevanja, plina i najamnina za stanovanje. U odjeljku hrane i bezalkoholnih pića cijene su uvećane za 1,1% u posmatranom periodu, što je posljedica povećanja cijena hrane jer su cijene bezalkoholnih pića smanjene. Cijene u odjeljku prevoza bile su veće za 1% u odnosu na 2018. godinu.</w:t>
      </w:r>
    </w:p>
    <w:p w:rsidR="0093531E" w:rsidRDefault="0093531E" w:rsidP="007357D1">
      <w:pPr>
        <w:jc w:val="both"/>
        <w:rPr>
          <w:sz w:val="24"/>
          <w:szCs w:val="24"/>
          <w:lang w:val="en-US"/>
        </w:rPr>
      </w:pPr>
    </w:p>
    <w:p w:rsidR="0093531E" w:rsidRDefault="0093531E" w:rsidP="007357D1">
      <w:pPr>
        <w:jc w:val="both"/>
        <w:rPr>
          <w:b/>
          <w:bCs/>
          <w:sz w:val="24"/>
          <w:szCs w:val="24"/>
          <w:lang w:val="en-US"/>
        </w:rPr>
      </w:pPr>
      <w:r>
        <w:rPr>
          <w:sz w:val="24"/>
          <w:szCs w:val="24"/>
          <w:lang w:val="en-US"/>
        </w:rPr>
        <w:t xml:space="preserve">                                                   </w:t>
      </w:r>
      <w:r w:rsidRPr="0093531E">
        <w:rPr>
          <w:b/>
          <w:bCs/>
          <w:sz w:val="24"/>
          <w:szCs w:val="24"/>
          <w:lang w:val="en-US"/>
        </w:rPr>
        <w:t xml:space="preserve">Cijene – projekcije 2020-2023. godine </w:t>
      </w:r>
    </w:p>
    <w:p w:rsidR="0093531E" w:rsidRPr="0093531E" w:rsidRDefault="0093531E" w:rsidP="007357D1">
      <w:pPr>
        <w:jc w:val="both"/>
        <w:rPr>
          <w:b/>
          <w:bCs/>
          <w:sz w:val="24"/>
          <w:szCs w:val="24"/>
          <w:lang w:val="en-US"/>
        </w:rPr>
      </w:pPr>
    </w:p>
    <w:p w:rsidR="0093531E" w:rsidRPr="0093531E" w:rsidRDefault="0093531E" w:rsidP="0093531E">
      <w:pPr>
        <w:jc w:val="both"/>
        <w:rPr>
          <w:sz w:val="24"/>
          <w:szCs w:val="24"/>
          <w:lang w:val="en-US"/>
        </w:rPr>
      </w:pPr>
      <w:r w:rsidRPr="0093531E">
        <w:rPr>
          <w:sz w:val="24"/>
          <w:szCs w:val="24"/>
          <w:lang w:val="en-US"/>
        </w:rPr>
        <w:t>U periodu I-II 2020. godine u Bosni i Herecgovini je registrovana inflacija od 0,5% u poređenju sa istim periodom 2019. godine. Smanjenje cijena u odjeljcima odjeće i obuće, namještaja, kućnih uređaja i redovnog održavanje kuće, te ostalih dobara i usluga doprinijelo je niskoj stopi inflacije u Bosni i Herecgovini. Pored toga, skroman rast cijena u pojedinim odjeljcima takođe je imao doprinos niskoj stopi inflacije. Tako su u odjeljku prevoza cijene su u periodu I-II 2020/I-II 2019 skromno uvećane 0,3% g/g. Kretanje cijene sirove nafte uticalo je na stopu rasta cijena</w:t>
      </w:r>
      <w:r>
        <w:rPr>
          <w:sz w:val="24"/>
          <w:szCs w:val="24"/>
          <w:lang w:val="en-US"/>
        </w:rPr>
        <w:t xml:space="preserve"> </w:t>
      </w:r>
      <w:r w:rsidRPr="0093531E">
        <w:rPr>
          <w:sz w:val="24"/>
          <w:szCs w:val="24"/>
          <w:lang w:val="en-US"/>
        </w:rPr>
        <w:t>ovog odjeljka. U odjeljku hrane i bezalkoholnih pića cijene su uvećane za 1,2% u periodu III 2020/I-II 2019. Istovremeno, u odjeljku stanovanja, vode, el. energije, plina i dr. energenata cijene su uvećane za 0,9% g/g uglavnom uslijed promjene cijena tečnih goriva, vodosnabdijevanja, plina i najamnina za stanovanje. Najbrži rast cijena u posmatranom periodu bio je u odjeljku alkoholnih pića i duvana (5,4% g/g). Od 1. januara 2020. godine nastavljena je harmonizacija akcizne politike u Bosni i Hercegovini sa politikom akciza na cigarete u Evropskoj uniji</w:t>
      </w:r>
      <w:r>
        <w:rPr>
          <w:sz w:val="24"/>
          <w:szCs w:val="24"/>
          <w:lang w:val="en-US"/>
        </w:rPr>
        <w:t>.</w:t>
      </w:r>
    </w:p>
    <w:p w:rsidR="0093531E" w:rsidRPr="0093531E" w:rsidRDefault="0093531E" w:rsidP="0093531E">
      <w:pPr>
        <w:jc w:val="both"/>
        <w:rPr>
          <w:sz w:val="24"/>
          <w:szCs w:val="24"/>
          <w:lang w:val="en-US"/>
        </w:rPr>
      </w:pPr>
      <w:r w:rsidRPr="0093531E">
        <w:rPr>
          <w:sz w:val="24"/>
          <w:szCs w:val="24"/>
          <w:lang w:val="en-US"/>
        </w:rPr>
        <w:t xml:space="preserve"> </w:t>
      </w:r>
    </w:p>
    <w:p w:rsidR="0093531E" w:rsidRPr="0093531E" w:rsidRDefault="0093531E" w:rsidP="0093531E">
      <w:pPr>
        <w:jc w:val="both"/>
        <w:rPr>
          <w:sz w:val="24"/>
          <w:szCs w:val="24"/>
          <w:lang w:val="en-US"/>
        </w:rPr>
      </w:pPr>
      <w:r w:rsidRPr="0093531E">
        <w:rPr>
          <w:sz w:val="24"/>
          <w:szCs w:val="24"/>
          <w:lang w:val="en-US"/>
        </w:rPr>
        <w:t xml:space="preserve">Na osnovu raspoloživih podataka može se pretpostaviti da kretanje inflacije u Bosni Hercegovini značajno određuje nivo cijena energenata, odnosno nafte, hrane, akciza, cijena komunalija i sl. Buduća kretanja cijena takođe u 2020. godini podliježu velikoj neizvjesnosti koja proizlazi iz epidemije COVID-19. Prema analizi17 Banke Slovenije, zbog manje potražnje povezane sa izbijanjem COVID-19, kao i porasta ponude nafte (koja je rezultat cjenovnog rata između Saudijske Arabije i Rusije), globalne cijene nafte padaju. U analizi se takođe navodi da bi prekidi uvoza zajedno sa padom ekonomske aktivnosti, mogli u kratkom roku dovesti do većih cijena specifičnih proizvoda, dok bi cijene hrane mogle porasti u slučaju uvoznih barijera. Pored toga, u posljednjim raspoloživim projekcijama18 ECB takođe se očekuju niže cijene sirove nafte u 2020. godini u odnosu na 2019. godinu (tabela ispod). Ukupna inflacija u eurozoni bi mogla iznositi oko 1,1% (0,1 p.p. manje u odnosu na prethodnu godinu) jer bi pritisci na smanjenje ukupne inflacije u 2020. godini, zbog smanjenja cijena nafte, uglavnom bili neutralisani pretpostavkama o višim cijenama hrane. S druge strane, Institut za ekonomska istraživanja (u daljem tesktu IFO19) predviđa znatno skromniji rast cijena kako za EU 27 tako i za eurozonu u 2020. godini, što je vjerovatno posljedica različitih polaznih pretpostavki (veći pad cijena sirove nafte, podaci </w:t>
      </w:r>
      <w:r w:rsidRPr="0093531E">
        <w:rPr>
          <w:sz w:val="24"/>
          <w:szCs w:val="24"/>
          <w:lang w:val="en-US"/>
        </w:rPr>
        <w:lastRenderedPageBreak/>
        <w:t xml:space="preserve">su dati u tabeli ispod). Uzimajući u obzir sva navedena dešavanja u svijetu ali i domaće faktore u Bosni i Hercegovini u 2020. godini se može takođe očekivati sporiji rast cijena od 0,2% u odnosu na prošlu godinu. Međutim, projekcije inflacije će zavisti od navedenih rizika (na kraju teksta) i preduzetih mjera od strane svih nivoa vlasti koje bi mogle uticati na nivo cijena u Bosni i Herecegovini.  </w:t>
      </w:r>
    </w:p>
    <w:p w:rsidR="0093531E" w:rsidRDefault="0093531E" w:rsidP="0093531E">
      <w:pPr>
        <w:jc w:val="both"/>
        <w:rPr>
          <w:sz w:val="24"/>
          <w:szCs w:val="24"/>
          <w:lang w:val="en-US"/>
        </w:rPr>
      </w:pPr>
      <w:r w:rsidRPr="0093531E">
        <w:rPr>
          <w:sz w:val="24"/>
          <w:szCs w:val="24"/>
          <w:lang w:val="en-US"/>
        </w:rPr>
        <w:t xml:space="preserve">Na osnovu toga projekcije inflacije u Bosni i Hercegovini u periodu 2021-2023. godine su zasnovane na promjenama cijena sirove nafte na svjetskom tržištu, cijenama hrane, akcizama na određene proizvode, cijenama komunalija i sl. Prema projekcijama IFO instituta cijena sirove nafte u 2021. godini bi mogla biti veća u odnosu na 2020. godinu (oko 13,8% g/g) a inflacija u eurozoni bi mogla iznositi oko 0,7%. ECB u svojim projekcijama očekuje nešto brži rast inflacije u 2021. godini u odnosu na prethodnu godinu od 1,4% uz skoro isti nivo cijena sirove nafte. U 2022. godini cijena sirove nafte takođe bi ostala gotovo nepromijenjena u odnosu na prethodnu godinu a inflacija u eurozoni bi iznosila 1,6%. Pod pretpostavkom da cijena hrane20 umjereno raste kao i cijene komunalija u periodu 2021-2023. godine u Bosni i Hercegovini se može očekivati rast cijena od 1,2%-1,4%. Pored toga, inflaciju u Bosni i Hercegovini će takođe determinisati period sprovođenja akcizne politike na cigarete i duvan (harmonizacija sa EU legislativom).  </w:t>
      </w:r>
    </w:p>
    <w:p w:rsidR="004248F6" w:rsidRPr="004248F6" w:rsidRDefault="004248F6" w:rsidP="004248F6">
      <w:pPr>
        <w:jc w:val="center"/>
        <w:rPr>
          <w:sz w:val="24"/>
          <w:szCs w:val="24"/>
          <w:u w:val="single"/>
          <w:lang w:val="en-US"/>
        </w:rPr>
      </w:pPr>
      <w:r w:rsidRPr="004248F6">
        <w:rPr>
          <w:sz w:val="24"/>
          <w:szCs w:val="24"/>
          <w:u w:val="single"/>
          <w:lang w:val="en-US"/>
        </w:rPr>
        <w:t>Rizici</w:t>
      </w:r>
    </w:p>
    <w:p w:rsidR="004248F6" w:rsidRPr="007357D1" w:rsidRDefault="004248F6" w:rsidP="0093531E">
      <w:pPr>
        <w:jc w:val="both"/>
        <w:rPr>
          <w:sz w:val="24"/>
          <w:szCs w:val="24"/>
          <w:lang w:val="en-US"/>
        </w:rPr>
      </w:pPr>
      <w:r w:rsidRPr="004248F6">
        <w:rPr>
          <w:sz w:val="24"/>
          <w:szCs w:val="24"/>
          <w:lang w:val="en-US"/>
        </w:rPr>
        <w:t xml:space="preserve"> Projekcije inflacije u osnovnom scenariju se oslanjaju na kretanje cijena sirove nafte i hrane kao faktora koji značajno determinišu kretanje cijena u Bosni i Hercegovini. Pored toga, treba uzeti u obzir domaće faktore koji određuju inflaciju kao što su akcize na pojedine proizvode, cijene komunlija i sl. Ukoliko bi cijene sirove nafte u periodu 2020-2023. godine bile niže od pretpostavljenih u osnovnom scenariju (kao što se predviđa u posljednjem alternativnom scenariju stručnjaka ECB) to bi se odrazilo na ukupan nivo cijena u Bosni i Hercegovini. Nastavak sprovođanja politike uvećanja akciza na cigarete i duvan takođe bi determinisao rast cijena u Bosni Hercegovini.</w:t>
      </w:r>
    </w:p>
    <w:p w:rsidR="0027169B" w:rsidRDefault="006A414D" w:rsidP="006A414D">
      <w:pPr>
        <w:pStyle w:val="Heading2"/>
        <w:rPr>
          <w:color w:val="auto"/>
          <w:sz w:val="24"/>
          <w:szCs w:val="24"/>
        </w:rPr>
      </w:pPr>
      <w:bookmarkStart w:id="46" w:name="_Toc266710144"/>
      <w:bookmarkStart w:id="47" w:name="_Toc266710176"/>
      <w:bookmarkStart w:id="48" w:name="_Toc266777671"/>
      <w:bookmarkStart w:id="49" w:name="_Toc422899922"/>
      <w:r w:rsidRPr="00BE678E">
        <w:rPr>
          <w:color w:val="auto"/>
          <w:sz w:val="24"/>
          <w:szCs w:val="24"/>
        </w:rPr>
        <w:t>1.</w:t>
      </w:r>
      <w:r w:rsidR="00167B3C" w:rsidRPr="00BE678E">
        <w:rPr>
          <w:color w:val="auto"/>
          <w:sz w:val="24"/>
          <w:szCs w:val="24"/>
        </w:rPr>
        <w:t>5.</w:t>
      </w:r>
      <w:r w:rsidRPr="00BE678E">
        <w:rPr>
          <w:color w:val="auto"/>
          <w:sz w:val="24"/>
          <w:szCs w:val="24"/>
        </w:rPr>
        <w:t xml:space="preserve">  </w:t>
      </w:r>
      <w:r w:rsidR="0027169B" w:rsidRPr="00BE678E">
        <w:rPr>
          <w:color w:val="auto"/>
          <w:sz w:val="24"/>
          <w:szCs w:val="24"/>
        </w:rPr>
        <w:t xml:space="preserve">Vanjski </w:t>
      </w:r>
      <w:bookmarkEnd w:id="46"/>
      <w:bookmarkEnd w:id="47"/>
      <w:bookmarkEnd w:id="48"/>
      <w:r w:rsidR="004248F6">
        <w:rPr>
          <w:color w:val="auto"/>
          <w:sz w:val="24"/>
          <w:szCs w:val="24"/>
        </w:rPr>
        <w:t>sektor</w:t>
      </w:r>
      <w:bookmarkEnd w:id="49"/>
    </w:p>
    <w:p w:rsidR="004248F6" w:rsidRPr="004248F6" w:rsidRDefault="004248F6" w:rsidP="004248F6">
      <w:pPr>
        <w:jc w:val="both"/>
        <w:rPr>
          <w:sz w:val="24"/>
          <w:szCs w:val="24"/>
          <w:lang w:val="en-US"/>
        </w:rPr>
      </w:pPr>
      <w:r w:rsidRPr="004248F6">
        <w:rPr>
          <w:sz w:val="24"/>
          <w:szCs w:val="24"/>
          <w:lang w:val="en-US"/>
        </w:rPr>
        <w:t xml:space="preserve">Platni bilans Bosne i Hercegovine Podaci iz platnog bilansa Bosne i Hercegovine ukazuju da su u protekloj 2019. godini zabilježena nepovoljnija kretanja u vanjskotrgovinskoj razmjeni i platnom bilansu zemlje, što je dobrim dijelom uzrokovano usporavanjem ekonomskih aktivnosti kod glavnih vanjskotrgovinskih partnera.  Prema zvaničnim podacima za 2019.godinu23 deficit tekućeg računa u okviru platnog bilansa Bosne i Hercegovine iznosio je 1,2 milijarde KM (odnosno 3,5% BDP-a). Porast nominalnog uvoza roba i usluga u posmatranom periodu iznosio je 1,8% dok je rast nominalnog izvoza roba i usluga iznosio 0,2%. Tekući neto prilivi novca iz inostranstva su u 2019. godini porasli za 8,2%. </w:t>
      </w:r>
    </w:p>
    <w:p w:rsidR="004248F6" w:rsidRDefault="004248F6" w:rsidP="004248F6">
      <w:pPr>
        <w:rPr>
          <w:lang w:val="en-US"/>
        </w:rPr>
      </w:pPr>
    </w:p>
    <w:p w:rsidR="004248F6" w:rsidRPr="004248F6" w:rsidRDefault="004248F6" w:rsidP="004248F6">
      <w:pPr>
        <w:jc w:val="center"/>
        <w:rPr>
          <w:u w:val="single"/>
          <w:lang w:val="en-US"/>
        </w:rPr>
      </w:pPr>
      <w:r w:rsidRPr="004248F6">
        <w:rPr>
          <w:u w:val="single"/>
          <w:lang w:val="en-US"/>
        </w:rPr>
        <w:t>Pretpostavke za platni bilans 2020.-2023. godine</w:t>
      </w:r>
    </w:p>
    <w:p w:rsidR="004248F6" w:rsidRDefault="004248F6" w:rsidP="004248F6">
      <w:pPr>
        <w:jc w:val="both"/>
        <w:rPr>
          <w:sz w:val="24"/>
          <w:szCs w:val="24"/>
          <w:lang w:val="en-US"/>
        </w:rPr>
      </w:pPr>
      <w:r w:rsidRPr="004248F6">
        <w:rPr>
          <w:sz w:val="24"/>
          <w:szCs w:val="24"/>
          <w:lang w:val="en-US"/>
        </w:rPr>
        <w:t xml:space="preserve">Na bazi projekcija DEP-a u 2020. godini bi se mogao očekivati nominalni pad vanjskotrgovinskog deficita od 7,4% (uz pad uvoza od 7% te pad izvoza 6,9%). U periodu 2021.-2023. godina očekivani nominalni rast vanjskotrgovinskog deficita kretao bi se u intervalu od 0,5-4,1%, kao rezultat porasta stope uvoza (5-8,1%) i rasta stope izvoza (6,5-9,4%). Kao udio u BDP-u deficit tekućeg računa, za 2020. godinu, prema projekcijama DEP-a iznosio bi oko -2,8%, dok bi se za period 2021-2023. godina moglo očekivati da ostane na približom istom nivou (u intervalu od -2,7% do -3,3% BDP-a). Očekuje se da bi se tekući neto prilivi iz inostranstva, uperiodu 2020.-2023. godina, mogli kretati u rasponu od 9,4% do 10,8% BDP-a. Obzirom da je jako teško procijeniti izvore finansiranja deficita tekućeg računa može se očekivati da će, kao što </w:t>
      </w:r>
      <w:r w:rsidRPr="004248F6">
        <w:rPr>
          <w:sz w:val="24"/>
          <w:szCs w:val="24"/>
          <w:lang w:val="en-US"/>
        </w:rPr>
        <w:lastRenderedPageBreak/>
        <w:t>je to i do sada bio slučaj, deficit tekućeg računa i dalje biti finansiran prilivima finansijskih sredstva iz inostranstva (kroz socijalne beneficije i doznake građana iz inostranstva, direktne strane investicije, trgovinske kredite te kroz eventualna nova zaduživanja na međunarodnom finansijskom tržištu).</w:t>
      </w:r>
    </w:p>
    <w:p w:rsidR="004248F6" w:rsidRPr="004248F6" w:rsidRDefault="004248F6" w:rsidP="004248F6">
      <w:pPr>
        <w:jc w:val="center"/>
        <w:rPr>
          <w:sz w:val="24"/>
          <w:szCs w:val="24"/>
          <w:u w:val="single"/>
          <w:lang w:val="en-US"/>
        </w:rPr>
      </w:pPr>
      <w:r w:rsidRPr="004248F6">
        <w:rPr>
          <w:sz w:val="24"/>
          <w:szCs w:val="24"/>
          <w:u w:val="single"/>
          <w:lang w:val="en-US"/>
        </w:rPr>
        <w:t>Rizici</w:t>
      </w:r>
    </w:p>
    <w:p w:rsidR="004248F6" w:rsidRDefault="004248F6" w:rsidP="004248F6">
      <w:pPr>
        <w:jc w:val="both"/>
        <w:rPr>
          <w:sz w:val="24"/>
          <w:szCs w:val="24"/>
          <w:lang w:val="en-US"/>
        </w:rPr>
      </w:pPr>
      <w:r w:rsidRPr="004248F6">
        <w:rPr>
          <w:sz w:val="24"/>
          <w:szCs w:val="24"/>
          <w:lang w:val="en-US"/>
        </w:rPr>
        <w:t xml:space="preserve">Glavni rizici za promjene u kretanju platnog bilansa Bosne i Hercegovine za povećanje odnosno smanjenje deficita tekućeg računa nalaze se u vanjskotrgovinskom deficitu, tj.  u promjenama stopa izvoza i uvoza roba i usluga, kao i promjenama cijena na svjetskom tržištu. Povoljno poslovno okruženje i veća stopa zaposlenosti dijaspore Bosne i Hercegovine mogla bi dovesti  do porasta stope tekućih transfera iz inostranstva, a samim time i do povećanja raspoloživog dohotka. Nasuprot tome, u slučaju lošijeg poslovnog okruženja i manje zaposlenosti bh. dijaspore a time i smanjenih tekućih transfera iz inostranstva raspoloživi dohodak bi bio manji. Kod finansiranja deficita tekućeg računa najveći rizici se nalaze u smanjenju sredstva strane aktive Bosne i Hercegovine u inostranstvu, nedovoljnim prilivom direktnim stranim investicijama, otežanim pristupom trgovinskim kreditima kao i nemogućnost zaduživanja na međunarodnom finansijskom tržištu. </w:t>
      </w:r>
    </w:p>
    <w:p w:rsidR="004248F6" w:rsidRDefault="004248F6" w:rsidP="004248F6">
      <w:pPr>
        <w:jc w:val="both"/>
        <w:rPr>
          <w:sz w:val="24"/>
          <w:szCs w:val="24"/>
          <w:lang w:val="en-US"/>
        </w:rPr>
      </w:pPr>
      <w:r w:rsidRPr="004248F6">
        <w:rPr>
          <w:sz w:val="24"/>
          <w:szCs w:val="24"/>
          <w:lang w:val="en-US"/>
        </w:rPr>
        <w:t>Rizici Glavni rizici za promjene u kretanju platnog bilansa Bosne i Hercegovine za povećanje odnosno smanjenje deficita tekućeg računa nalaze se u vanjskotrgovinskom deficitu, tj.  u promjenama stopa izvoza i uvoza roba i usluga, kao i promjenama cijena na svjetskom tržištu. Povoljno poslovno okruženje i veća stopa zaposlenosti dijaspore Bosne i Hercegovine mogla bi dovesti  do porasta stope tekućih transfera iz inostranstva, a samim time i do povećanja raspoloživog dohotka. Nasuprot tome, u slučaju lošijeg poslovnog okruženja i manje zaposlenosti bh. dijaspore a time i smanjenih tekućih transfera iz inostranstva raspoloživi dohodak bi bio manji. Kod finansiranja deficita tekućeg računa najveći rizici se nalaze u smanjenju sredstva strane aktive Bosne i Hercegovine u inostranstvu, nedovoljnim prilivom direktnim stranim investicijama, otežanim pristupom trgovinskim kreditima kao i nemogućnost zaduživanja na međunarodnom finansijskom tržištu.</w:t>
      </w:r>
    </w:p>
    <w:p w:rsidR="004248F6" w:rsidRPr="004248F6" w:rsidRDefault="004248F6" w:rsidP="004248F6">
      <w:pPr>
        <w:jc w:val="both"/>
        <w:rPr>
          <w:sz w:val="24"/>
          <w:szCs w:val="24"/>
          <w:lang w:val="en-US"/>
        </w:rPr>
      </w:pPr>
      <w:r w:rsidRPr="004248F6">
        <w:rPr>
          <w:sz w:val="24"/>
          <w:szCs w:val="24"/>
          <w:lang w:val="en-US"/>
        </w:rPr>
        <w:t xml:space="preserve"> </w:t>
      </w:r>
    </w:p>
    <w:p w:rsidR="004248F6" w:rsidRDefault="004248F6" w:rsidP="004248F6">
      <w:pPr>
        <w:jc w:val="center"/>
        <w:rPr>
          <w:sz w:val="24"/>
          <w:szCs w:val="24"/>
          <w:u w:val="single"/>
          <w:lang w:val="en-US"/>
        </w:rPr>
      </w:pPr>
      <w:r w:rsidRPr="004248F6">
        <w:rPr>
          <w:sz w:val="24"/>
          <w:szCs w:val="24"/>
          <w:u w:val="single"/>
          <w:lang w:val="en-US"/>
        </w:rPr>
        <w:t>Pregled vanjskotrgovinske robne razmjene za 2019. godinu i projekcije za 2020. Godinu</w:t>
      </w:r>
    </w:p>
    <w:p w:rsidR="004248F6" w:rsidRPr="004248F6" w:rsidRDefault="004248F6" w:rsidP="004248F6">
      <w:pPr>
        <w:jc w:val="center"/>
        <w:rPr>
          <w:sz w:val="24"/>
          <w:szCs w:val="24"/>
          <w:u w:val="single"/>
          <w:lang w:val="en-US"/>
        </w:rPr>
      </w:pPr>
    </w:p>
    <w:p w:rsidR="004248F6" w:rsidRDefault="004248F6" w:rsidP="004248F6">
      <w:pPr>
        <w:jc w:val="both"/>
        <w:rPr>
          <w:sz w:val="24"/>
          <w:szCs w:val="24"/>
          <w:lang w:val="en-US"/>
        </w:rPr>
      </w:pPr>
      <w:r w:rsidRPr="004248F6">
        <w:rPr>
          <w:sz w:val="24"/>
          <w:szCs w:val="24"/>
          <w:lang w:val="en-US"/>
        </w:rPr>
        <w:t xml:space="preserve">Za razliku od prethodne godine kada je Bosna i Hercegovina zahvaljujući povoljnim poslovnim prilikama u glavnim trgovinskim partnerima ostvarila vrlo dobar vanjskotrgovinski rezultat, to nije bio slučaj  u 2019. godini. Naime,  prema trenutno raspoloživim podacima BHAS za  2019. godinu u Bosni i Hercegovini je došlo do značajnog slabljenja vanjskotrgovinske robne razmjene sa svijetom koja je  dodatno intenzivirana i na samom kraju godine. Opšte poznata činjenica je da Bosna i Hercegovina u vanjskotrgovinskom smislu prilično zavisi od ekonomskih kretanja u zemaljama EU, obzirom da skoro 75%  izvoza roba plasira na tržišta zemalja EU, dok se  s druge strane oko 60% uvoza snadbijeva iz EU.  S toga, ekonomska kretanja u okviru  ovih zemalja uz nivo proizvodnje u okviru domaćeg proizvođačkog sektora skoro u potpunosti determinišu kretanja vanjskotrgovinske razmjene sa svijetom. Naime, slabljenje ekonomske aktivnosti u zemljama EU dovelo je do slabljenja izvozne tražnje što se manifestovalo smanjenjem proizvodnje u prerađivačkoj industiriji i slabljenjem robnog izvoza Bosni i Hercegovini. Tako je Bosna i Hercegovina prema preliminarnim podacima BHAS-a za  2019. godine zabilježila pad  izvoza roba od 3,4% i usporen rast  robnog  uvoza od 1,2%, što je rezultiralo značajnim povećanjem robnog deficita od 8,6%, dok je pokrivenost uvoza izvozom smanjena za preko 2 procentna poena (dalje u tekstu p.p).24 S druge strane, trenutno raspoloživi podaci BHAS-a za prvi kvartal 2020. godine ukazuju da je trend slabljenja vanjskotrgovinske robne razmjene </w:t>
      </w:r>
      <w:r w:rsidRPr="004248F6">
        <w:rPr>
          <w:sz w:val="24"/>
          <w:szCs w:val="24"/>
          <w:lang w:val="en-US"/>
        </w:rPr>
        <w:lastRenderedPageBreak/>
        <w:t>nastavljen i dodatno intenziviran tokom marta 2020. godini. Naime, prema ovim podacima Bosna i Hercegovina je u prvom kvartalu 2020 godine zabilježila pad robnog izvoza od 5,2%, dok je posmatrano samo na mjesečnom nivou par izvoza u martu 2020. godine iznosio oko 15%. Ovaj pad robnog izvoza u martu 2020. godine je očigledan primjer negativnih posljedica globalne pandemije virusa Covid-19 na privredna kretanja u Bosni i Hercegovini.  S druge strane, usporavanje privredne aktivnosti u zemlji i slabljenje domaće tražnje rezultirali su smanjenjem robnog uvoza od 7,2% u prvom kvartalu 2020. godine u odnosu na isti period prethodne godine. Posmartano na mjesečnom nivou pad robnog uvoza u martu 2020.godine u odnosu na isti mjesec prethodne godine iznosio je 16,5%. Ovakva kretanja izvoza i uvoza i generelno niži nivo ekonomske aktivnosti u zemlji doveli su smanjenja vanjskotrgovinskog robnog deficita u određenoj mjeri. Ako se ima u vidu posojeći trend slabljenja vanjskotrgovinske robne razmjene u svijetu, kao i novonastale okolnosti sa izbijanjem globalne epidemije virusa Covid-2019 onda nije teško zaključiti da će 2020. godina biti naročito izazovna kada je u pitanju bh. vanjskotrgovinska robna razmjena. Čak i ukoliko ovi problemi budu kratkotrjanog karaktera (P1-2020) u Bosni i Hercegovini se može očekivati značajno slabljenje izvoza i uvoza roba. U osnovnom scenariju prema kome bi ovi problemi bili prevaziđeni u drugoj polovini 2020. godine u Bosni i Hercegovini se očekuje pad ukupnog izvoza od  6,4% u odnosu na prethodu godinue. S druge strane, sasvim je izvjesno da će usljed usporavanja ukupne ekonomske aktivnosti (pad potrošnje, proizvodnje i investicija) doći i do pada uvoza sa očekivanom stopom pada od oko 6% u realnom smislu.</w:t>
      </w:r>
    </w:p>
    <w:p w:rsidR="00B94EBA" w:rsidRDefault="00B94EBA" w:rsidP="004248F6">
      <w:pPr>
        <w:jc w:val="both"/>
        <w:rPr>
          <w:sz w:val="24"/>
          <w:szCs w:val="24"/>
          <w:lang w:val="en-US"/>
        </w:rPr>
      </w:pPr>
    </w:p>
    <w:p w:rsidR="00B94EBA" w:rsidRDefault="00B94EBA" w:rsidP="00B94EBA">
      <w:pPr>
        <w:jc w:val="center"/>
        <w:rPr>
          <w:sz w:val="24"/>
          <w:szCs w:val="24"/>
          <w:u w:val="single"/>
          <w:lang w:val="en-US"/>
        </w:rPr>
      </w:pPr>
      <w:r w:rsidRPr="00B94EBA">
        <w:rPr>
          <w:sz w:val="24"/>
          <w:szCs w:val="24"/>
          <w:u w:val="single"/>
          <w:lang w:val="en-US"/>
        </w:rPr>
        <w:t xml:space="preserve">Projekcija kretanja vanjskotrgovinske razmjene  za period 2021-2023. </w:t>
      </w:r>
      <w:r>
        <w:rPr>
          <w:sz w:val="24"/>
          <w:szCs w:val="24"/>
          <w:u w:val="single"/>
          <w:lang w:val="en-US"/>
        </w:rPr>
        <w:t>g</w:t>
      </w:r>
      <w:r w:rsidRPr="00B94EBA">
        <w:rPr>
          <w:sz w:val="24"/>
          <w:szCs w:val="24"/>
          <w:u w:val="single"/>
          <w:lang w:val="en-US"/>
        </w:rPr>
        <w:t>odina</w:t>
      </w:r>
    </w:p>
    <w:p w:rsidR="00B94EBA" w:rsidRPr="00B94EBA" w:rsidRDefault="00B94EBA" w:rsidP="00B94EBA">
      <w:pPr>
        <w:jc w:val="center"/>
        <w:rPr>
          <w:sz w:val="24"/>
          <w:szCs w:val="24"/>
          <w:u w:val="single"/>
          <w:lang w:val="en-US"/>
        </w:rPr>
      </w:pPr>
    </w:p>
    <w:p w:rsidR="004248F6" w:rsidRPr="004248F6" w:rsidRDefault="00B94EBA" w:rsidP="004248F6">
      <w:pPr>
        <w:jc w:val="both"/>
        <w:rPr>
          <w:sz w:val="24"/>
          <w:szCs w:val="24"/>
          <w:lang w:val="en-US"/>
        </w:rPr>
      </w:pPr>
      <w:r w:rsidRPr="00B94EBA">
        <w:rPr>
          <w:sz w:val="24"/>
          <w:szCs w:val="24"/>
          <w:lang w:val="en-US"/>
        </w:rPr>
        <w:t xml:space="preserve"> Kretanje privrednih aktivnosti u eksternom okruženju u ovom srednjoročnom periodu zasigurno će predstavljati glavnu determinantu kretanja vanjskotrgovinske robne razmjene u Bosni i Hercegovini u ovom periodu. Samo pod pretpostavkom poboljšanja privredne aktivnosti i saniranja novonastalih globalnih ekonomskih izazova Covid-19 sa kojima se suočava svjetska ekonomija moguće je očekivati i poboljšanje vanjskotrgovinske razmejene u Bosni i Hercegovini. Dakle, u slučaju da navedene okolnosti budu prevaziđene , projekcija DEP-a je da bi se u Bosni i</w:t>
      </w:r>
    </w:p>
    <w:p w:rsidR="00B94EBA" w:rsidRDefault="00B94EBA" w:rsidP="00B94EBA">
      <w:pPr>
        <w:jc w:val="both"/>
        <w:rPr>
          <w:lang w:val="en-US"/>
        </w:rPr>
      </w:pPr>
      <w:r w:rsidRPr="00B94EBA">
        <w:rPr>
          <w:sz w:val="24"/>
          <w:szCs w:val="24"/>
          <w:lang w:val="en-US"/>
        </w:rPr>
        <w:t>Hercegovini  u periodu 2021.-2023. godina moglo očekivati  povećanje ukupnog izvoza sa godišnjim stopama rasta od 4,3%, 5,8% i 6,7% u realnom smislu respektivno. Ovo povećanje izvoza uvjetovano je stabilnom izvoznom tražnjom, proširenjem proizvodne baze i podizanjem konkurentnosti u zemlji.  S druge strane, povećanje ekonomske aktivnosti u zemlji, odnosno rast domaće tražnje u okviru sektora stanovništva i korporativnog sektora kroz nešto brži rast potrošnje i investicija trebali bi rezultirati i povećanjem bh. uvoza.  Prema projekcijama DEP-a očekuje se da stope rasta uvoza budu nešto niže u odnosu na izvoze i trebale bi se kretatati od 3,2% u 2021. godini, 4,5% u 2022. godini, i 5,1% u 2023. godini. Više stope rasta izvoza od uvoznih u srednjem roku bi trebale rezultirati povećanjem izvozne zastupljenosti u  BDP-u na oko 45% zaključno sa 2023. godinom. S druge strane, obzirom na nešto sporiji rast uvoza očekuje se da bi se zaključno sa 2023. godinom uvoz u okviru BDP-a trebao zadžati na oko 57% BDP-a. Rezultat ovakvih trendova kretanja izvoza i uvoza bilo bi postepeno smanjnenje vanjskotrgovinskog deficita na oko 13% BDP-a, veći doprinos ekomskom rastu i poboljšana pokrivenost uvoza izvozom na skoro 78% zaključno sa 2023. godinom.</w:t>
      </w:r>
      <w:r w:rsidRPr="00B94EBA">
        <w:rPr>
          <w:lang w:val="en-US"/>
        </w:rPr>
        <w:t xml:space="preserve"> </w:t>
      </w:r>
    </w:p>
    <w:p w:rsidR="00E6492A" w:rsidRDefault="00E6492A" w:rsidP="00B94EBA">
      <w:pPr>
        <w:jc w:val="both"/>
        <w:rPr>
          <w:lang w:val="en-US"/>
        </w:rPr>
      </w:pPr>
    </w:p>
    <w:p w:rsidR="00E6492A" w:rsidRDefault="00E6492A" w:rsidP="00B94EBA">
      <w:pPr>
        <w:jc w:val="both"/>
        <w:rPr>
          <w:lang w:val="en-US"/>
        </w:rPr>
      </w:pPr>
    </w:p>
    <w:p w:rsidR="00E6492A" w:rsidRDefault="00E6492A" w:rsidP="00B94EBA">
      <w:pPr>
        <w:jc w:val="both"/>
        <w:rPr>
          <w:lang w:val="en-US"/>
        </w:rPr>
      </w:pPr>
    </w:p>
    <w:p w:rsidR="00B94EBA" w:rsidRDefault="00B94EBA" w:rsidP="00B94EBA">
      <w:pPr>
        <w:jc w:val="both"/>
        <w:rPr>
          <w:lang w:val="en-US"/>
        </w:rPr>
      </w:pPr>
    </w:p>
    <w:p w:rsidR="004248F6" w:rsidRPr="00B94EBA" w:rsidRDefault="00B94EBA" w:rsidP="00B94EBA">
      <w:pPr>
        <w:jc w:val="center"/>
        <w:rPr>
          <w:sz w:val="24"/>
          <w:szCs w:val="24"/>
          <w:u w:val="single"/>
          <w:lang w:val="en-US"/>
        </w:rPr>
      </w:pPr>
      <w:r w:rsidRPr="00B94EBA">
        <w:rPr>
          <w:sz w:val="24"/>
          <w:szCs w:val="24"/>
          <w:u w:val="single"/>
          <w:lang w:val="en-US"/>
        </w:rPr>
        <w:lastRenderedPageBreak/>
        <w:t>Rizici</w:t>
      </w:r>
    </w:p>
    <w:p w:rsidR="00406051" w:rsidRDefault="00406051" w:rsidP="00406051">
      <w:pPr>
        <w:rPr>
          <w:lang w:val="bs-Latn-BA" w:eastAsia="bs-Latn-BA"/>
        </w:rPr>
      </w:pPr>
    </w:p>
    <w:p w:rsidR="00B94EBA" w:rsidRPr="00B94EBA" w:rsidRDefault="00B94EBA" w:rsidP="00B94EBA">
      <w:pPr>
        <w:jc w:val="both"/>
        <w:rPr>
          <w:sz w:val="24"/>
          <w:szCs w:val="24"/>
          <w:lang w:val="bs-Latn-BA" w:eastAsia="bs-Latn-BA"/>
        </w:rPr>
        <w:sectPr w:rsidR="00B94EBA" w:rsidRPr="00B94EBA" w:rsidSect="00FC7FF8">
          <w:pgSz w:w="12240" w:h="15840" w:code="1"/>
          <w:pgMar w:top="1418" w:right="1418" w:bottom="1418" w:left="1418" w:header="720" w:footer="720" w:gutter="0"/>
          <w:pgBorders w:offsetFrom="page">
            <w:top w:val="double" w:sz="4" w:space="24" w:color="auto"/>
          </w:pgBorders>
          <w:cols w:space="708"/>
          <w:docGrid w:linePitch="360"/>
        </w:sectPr>
      </w:pPr>
      <w:r w:rsidRPr="00B94EBA">
        <w:rPr>
          <w:sz w:val="24"/>
          <w:szCs w:val="24"/>
          <w:lang w:val="bs-Latn-BA" w:eastAsia="bs-Latn-BA"/>
        </w:rPr>
        <w:t>Osnovni rizik za realizaciju projekcija kretanja vanjskotrgovinske robne razmjene predstavlja slabljenje ekonomskog rasta u glavnim trgovinskim partnerima odnosno pojava globalne epidemije virusa Covid-2019 koja bi u slučaju da potraje u potpunosti ugrozila materijalizaciju navedenog osnovnog scenarija. Pored ovoga dodatni rizik po materijalizaciju ovih pretpostavki mogle bi predstavljati nagle promjene svjetshih cijena berzanskih roba kao što su metali, energenti (nafta i gas) i hrana, kao i problemi u poslovanju glavnih izvoznih kompanija.</w:t>
      </w:r>
    </w:p>
    <w:p w:rsidR="00CD7F5D" w:rsidRDefault="00167B3C" w:rsidP="00167B3C">
      <w:pPr>
        <w:pStyle w:val="Heading3"/>
        <w:rPr>
          <w:rFonts w:ascii="Times New Roman" w:hAnsi="Times New Roman" w:cs="Times New Roman"/>
          <w:sz w:val="24"/>
          <w:szCs w:val="24"/>
          <w:lang w:val="bs-Latn-BA" w:eastAsia="bs-Latn-BA"/>
        </w:rPr>
      </w:pPr>
      <w:bookmarkStart w:id="50" w:name="_Toc422899923"/>
      <w:r w:rsidRPr="00167B3C">
        <w:rPr>
          <w:rFonts w:ascii="Times New Roman" w:hAnsi="Times New Roman" w:cs="Times New Roman"/>
          <w:sz w:val="24"/>
          <w:szCs w:val="24"/>
          <w:lang w:val="bs-Latn-BA" w:eastAsia="bs-Latn-BA"/>
        </w:rPr>
        <w:lastRenderedPageBreak/>
        <w:t>1.6.</w:t>
      </w:r>
      <w:r w:rsidR="00CD7F5D" w:rsidRPr="00167B3C">
        <w:rPr>
          <w:rFonts w:ascii="Times New Roman" w:hAnsi="Times New Roman" w:cs="Times New Roman"/>
          <w:sz w:val="24"/>
          <w:szCs w:val="24"/>
          <w:lang w:val="bs-Latn-BA" w:eastAsia="bs-Latn-BA"/>
        </w:rPr>
        <w:t>Strana direktna ulaganja</w:t>
      </w:r>
      <w:bookmarkEnd w:id="50"/>
    </w:p>
    <w:p w:rsidR="00A93D67" w:rsidRDefault="00A93D67" w:rsidP="00A93D67">
      <w:pPr>
        <w:rPr>
          <w:lang w:val="bs-Latn-BA" w:eastAsia="bs-Latn-BA"/>
        </w:rPr>
      </w:pPr>
    </w:p>
    <w:p w:rsidR="00B94EBA" w:rsidRDefault="00B94EBA" w:rsidP="00B94EBA">
      <w:pPr>
        <w:jc w:val="center"/>
        <w:rPr>
          <w:bCs/>
          <w:sz w:val="24"/>
          <w:szCs w:val="24"/>
          <w:u w:val="single"/>
          <w:lang w:val="bs-Latn-BA" w:eastAsia="bs-Latn-BA"/>
        </w:rPr>
      </w:pPr>
      <w:r w:rsidRPr="00B94EBA">
        <w:rPr>
          <w:bCs/>
          <w:sz w:val="24"/>
          <w:szCs w:val="24"/>
          <w:u w:val="single"/>
          <w:lang w:val="bs-Latn-BA" w:eastAsia="bs-Latn-BA"/>
        </w:rPr>
        <w:t>Strana direktna ulaganja u 2020-2023. godini</w:t>
      </w:r>
    </w:p>
    <w:p w:rsidR="00B94EBA" w:rsidRPr="00B94EBA" w:rsidRDefault="00B94EBA" w:rsidP="00B94EBA">
      <w:pPr>
        <w:jc w:val="center"/>
        <w:rPr>
          <w:bCs/>
          <w:sz w:val="24"/>
          <w:szCs w:val="24"/>
          <w:u w:val="single"/>
          <w:lang w:val="bs-Latn-BA" w:eastAsia="bs-Latn-BA"/>
        </w:rPr>
      </w:pPr>
    </w:p>
    <w:p w:rsidR="00B94EBA" w:rsidRDefault="00B94EBA" w:rsidP="00B94EBA">
      <w:pPr>
        <w:rPr>
          <w:bCs/>
          <w:sz w:val="24"/>
          <w:szCs w:val="24"/>
          <w:lang w:val="bs-Latn-BA" w:eastAsia="bs-Latn-BA"/>
        </w:rPr>
      </w:pPr>
      <w:r w:rsidRPr="00B94EBA">
        <w:rPr>
          <w:bCs/>
          <w:sz w:val="24"/>
          <w:szCs w:val="24"/>
          <w:lang w:val="bs-Latn-BA" w:eastAsia="bs-Latn-BA"/>
        </w:rPr>
        <w:t xml:space="preserve"> Evidentna globalna ekonomska kriza izazvana početkom pandemije u prvom kvartalu 2020. godine sa još nesagledivim posljedicama sigurno će imati negativan uticaj na direktna ulaganja u svijetu. Zabillježeni rekordni pad vrijednosti (još uvijek nezaustavljeni u vrijeme pisanja izvještaja) svih važnijih svjetskih indeksa na berzama je svakako pokazatelj trenutnog nesigurnog stanja svjetske privrede. Pored toga svakako će se na ekonomska kretanja  u svijetu dodatno odraziti (trenutno samo odloženi) tarifni rat između Kine i Sjedinjenih Američkih Država, posljedice Brexita, te značajan pad stopa ekonomskog rasta u gotovo svim vodećim zemljama u EU i svijetu.  Prema prema najnovijem martovskom specijalnom izvještaju25 UNCTAD-a (engl. The United Nations Conference on Trade and Development) strana direktna ulaganja (u daljnjem tekstu SDU) očekuje se globalni pad SDU od 30%-40%. Posebno se naglašava smanjenje reinvestiranih zarada kao posljedice smanjenja profita kompanija širom svijeta koje su često iznosile i do 50% SDU u svijetu.</w:t>
      </w:r>
    </w:p>
    <w:p w:rsidR="00B94EBA" w:rsidRPr="00B94EBA" w:rsidRDefault="00B94EBA" w:rsidP="00B94EBA">
      <w:pPr>
        <w:jc w:val="both"/>
        <w:rPr>
          <w:bCs/>
          <w:sz w:val="24"/>
          <w:szCs w:val="24"/>
          <w:lang w:val="bs-Latn-BA" w:eastAsia="bs-Latn-BA"/>
        </w:rPr>
      </w:pPr>
      <w:r w:rsidRPr="00B94EBA">
        <w:rPr>
          <w:bCs/>
          <w:sz w:val="24"/>
          <w:szCs w:val="24"/>
          <w:lang w:val="bs-Latn-BA" w:eastAsia="bs-Latn-BA"/>
        </w:rPr>
        <w:t xml:space="preserve">Prema podacima objavljenim od strane Centralne banke Bosne i Hercegovine  ukupna strana ulaganja u 2019. godine su iznosila 898,6 mil. KM (neto finansijska pasiva) i veća su za 11,6 % g/g. Reinvestirane zarade su u 2019. godini su iznosile 479,7 mil. KM i veće su za 25,3% g/g. Učestvovale su neto finansijskoj pasivi više od pola, tačnije 54,4%. Time je učešće SDU u 2019. godini dostigla 2,54% BDP.  </w:t>
      </w:r>
    </w:p>
    <w:p w:rsidR="00B94EBA" w:rsidRPr="00B94EBA" w:rsidRDefault="00B94EBA" w:rsidP="00B94EBA">
      <w:pPr>
        <w:jc w:val="both"/>
        <w:rPr>
          <w:bCs/>
          <w:sz w:val="24"/>
          <w:szCs w:val="24"/>
          <w:lang w:val="bs-Latn-BA" w:eastAsia="bs-Latn-BA"/>
        </w:rPr>
      </w:pPr>
      <w:r w:rsidRPr="00B94EBA">
        <w:rPr>
          <w:bCs/>
          <w:sz w:val="24"/>
          <w:szCs w:val="24"/>
          <w:lang w:val="bs-Latn-BA" w:eastAsia="bs-Latn-BA"/>
        </w:rPr>
        <w:t xml:space="preserve">Kao posljedica prethodno navedenog pogoršanja ekonomskih kretanja u svijetu i EU čije su članice i glavni ulagači u  Bosni i Hercegovini u 2020. godini doći će neminovno do značajnog  smanjenja SDU. Potrebno je naglasiti da je još uvijek nepoznata dužina trajanja zatvaranja ekonomije (ograničenje kretanja i poslovanja) zbog pandemije kako u Bosni i Hercegovini tako i svijetu te da je prilikom izrade osnovnog scenarija uzeta pretpostavka završetka pandemije na kraju drugog kvartala 2020. godine.  </w:t>
      </w:r>
    </w:p>
    <w:p w:rsidR="00B94EBA" w:rsidRDefault="00B94EBA" w:rsidP="00B94EBA">
      <w:pPr>
        <w:jc w:val="both"/>
        <w:rPr>
          <w:bCs/>
          <w:sz w:val="24"/>
          <w:szCs w:val="24"/>
          <w:lang w:val="bs-Latn-BA" w:eastAsia="bs-Latn-BA"/>
        </w:rPr>
      </w:pPr>
      <w:r w:rsidRPr="00B94EBA">
        <w:rPr>
          <w:bCs/>
          <w:sz w:val="24"/>
          <w:szCs w:val="24"/>
          <w:lang w:val="bs-Latn-BA" w:eastAsia="bs-Latn-BA"/>
        </w:rPr>
        <w:t xml:space="preserve">Da bi se izbjegao uticaj fluktuacije i procikličnosti prilikom procjene za osnovu je uzet prosjek ulaganja po kvartalima u zadnjih pet godina. Tako bi se prema toj procjeni SDU kretala oko 1,3% BDP. Poslije smanjanja ulaganja u 2020. godini očekuje se da će doći do postepenog oporavka u narednim godinama. Uzimajući u obzir brojne najave za ulaganja u oblast energetike, infrastrukture, te posebno oporavka oblasti turizama i usluga (koji su trenutno najviše pogođeni navedenom krizom) postoji realna osnova da u narednom periodu dodje do postepenog povećanja SDU. Time bi SDU u 2021. godini dostigla 1,9% BDP, u 2022. godini 2,2% BDP te na kraju u 2023. godini 2,4% BDP. </w:t>
      </w:r>
    </w:p>
    <w:p w:rsidR="00B94EBA" w:rsidRDefault="00B94EBA" w:rsidP="00B94EBA">
      <w:pPr>
        <w:jc w:val="both"/>
        <w:rPr>
          <w:bCs/>
          <w:sz w:val="24"/>
          <w:szCs w:val="24"/>
          <w:lang w:val="bs-Latn-BA" w:eastAsia="bs-Latn-BA"/>
        </w:rPr>
      </w:pPr>
    </w:p>
    <w:p w:rsidR="00B94EBA" w:rsidRDefault="00B94EBA" w:rsidP="00B94EBA">
      <w:pPr>
        <w:jc w:val="both"/>
        <w:rPr>
          <w:bCs/>
          <w:sz w:val="24"/>
          <w:szCs w:val="24"/>
          <w:lang w:val="bs-Latn-BA" w:eastAsia="bs-Latn-BA"/>
        </w:rPr>
      </w:pPr>
    </w:p>
    <w:p w:rsidR="00B94EBA" w:rsidRPr="00B94EBA" w:rsidRDefault="00B94EBA" w:rsidP="00B94EBA">
      <w:pPr>
        <w:jc w:val="both"/>
        <w:rPr>
          <w:bCs/>
          <w:sz w:val="24"/>
          <w:szCs w:val="24"/>
          <w:lang w:val="bs-Latn-BA" w:eastAsia="bs-Latn-BA"/>
        </w:rPr>
      </w:pPr>
    </w:p>
    <w:p w:rsidR="00B94EBA" w:rsidRDefault="00B94EBA" w:rsidP="00B94EBA">
      <w:pPr>
        <w:jc w:val="center"/>
        <w:rPr>
          <w:bCs/>
          <w:sz w:val="24"/>
          <w:szCs w:val="24"/>
          <w:u w:val="single"/>
          <w:lang w:val="bs-Latn-BA" w:eastAsia="bs-Latn-BA"/>
        </w:rPr>
      </w:pPr>
      <w:r w:rsidRPr="00B94EBA">
        <w:rPr>
          <w:bCs/>
          <w:sz w:val="24"/>
          <w:szCs w:val="24"/>
          <w:u w:val="single"/>
          <w:lang w:val="bs-Latn-BA" w:eastAsia="bs-Latn-BA"/>
        </w:rPr>
        <w:lastRenderedPageBreak/>
        <w:t>Rizici</w:t>
      </w:r>
    </w:p>
    <w:p w:rsidR="008A476E" w:rsidRDefault="008A476E" w:rsidP="00B94EBA">
      <w:pPr>
        <w:jc w:val="center"/>
        <w:rPr>
          <w:bCs/>
          <w:sz w:val="24"/>
          <w:szCs w:val="24"/>
          <w:u w:val="single"/>
          <w:lang w:val="bs-Latn-BA" w:eastAsia="bs-Latn-BA"/>
        </w:rPr>
      </w:pPr>
    </w:p>
    <w:p w:rsidR="00B94EBA" w:rsidRPr="008A476E" w:rsidRDefault="008A476E" w:rsidP="000B1B33">
      <w:pPr>
        <w:jc w:val="both"/>
        <w:rPr>
          <w:bCs/>
          <w:sz w:val="24"/>
          <w:szCs w:val="24"/>
          <w:lang w:val="bs-Latn-BA" w:eastAsia="bs-Latn-BA"/>
        </w:rPr>
      </w:pPr>
      <w:r w:rsidRPr="008A476E">
        <w:rPr>
          <w:bCs/>
          <w:sz w:val="24"/>
          <w:szCs w:val="24"/>
          <w:lang w:val="bs-Latn-BA" w:eastAsia="bs-Latn-BA"/>
        </w:rPr>
        <w:t>Nastavak globalna ekonomska krize izazvane prvenstveno produžetkom do kraja godine razarajućeg dejstva pandemije (virus COVID-19) u svijetu uz nastavak zaoštravanja globalnih ekonomskih prilika (geopolitičke i trgovinske tenzije između Kine i SAD) dodatno će negativno uticati na Bosnui Hercegovini. Još uvijek nesagledive negativne posljedice pada ekonomske proizvodnje u Kini i SAD, te značajniji daljnji pad ekonomskog rasta u najgore epidemijom pogođenim zemljama EU (posebno Italija,Španija i Francuska) će se neminovno odraziti i na Bosnu i Hercegovinu kroz daljnje pogoršanje platnog i spoljnotrgovinskog bilansa, i dodatno smanjenje SDU. </w:t>
      </w:r>
    </w:p>
    <w:p w:rsidR="00406051" w:rsidRDefault="00406051" w:rsidP="000B1B33">
      <w:pPr>
        <w:jc w:val="both"/>
        <w:rPr>
          <w:b/>
          <w:sz w:val="24"/>
          <w:szCs w:val="24"/>
          <w:lang w:val="bs-Latn-BA" w:eastAsia="bs-Latn-BA"/>
        </w:rPr>
      </w:pPr>
    </w:p>
    <w:p w:rsidR="00C12BFF" w:rsidRPr="00971DC2" w:rsidRDefault="000E73DF" w:rsidP="006A414D">
      <w:pPr>
        <w:pStyle w:val="Heading2"/>
        <w:rPr>
          <w:rFonts w:ascii="Times New Roman" w:hAnsi="Times New Roman"/>
          <w:color w:val="auto"/>
          <w:sz w:val="24"/>
          <w:szCs w:val="24"/>
          <w:u w:val="single"/>
        </w:rPr>
      </w:pPr>
      <w:bookmarkStart w:id="51" w:name="_Toc422899924"/>
      <w:r w:rsidRPr="00971DC2">
        <w:rPr>
          <w:rFonts w:ascii="Times New Roman" w:hAnsi="Times New Roman"/>
          <w:color w:val="auto"/>
          <w:sz w:val="24"/>
          <w:szCs w:val="24"/>
        </w:rPr>
        <w:t>1.</w:t>
      </w:r>
      <w:r w:rsidR="00971DC2" w:rsidRPr="00971DC2">
        <w:rPr>
          <w:rFonts w:ascii="Times New Roman" w:hAnsi="Times New Roman"/>
          <w:color w:val="auto"/>
          <w:sz w:val="24"/>
          <w:szCs w:val="24"/>
        </w:rPr>
        <w:t>7.</w:t>
      </w:r>
      <w:r w:rsidRPr="00971DC2">
        <w:rPr>
          <w:rFonts w:ascii="Times New Roman" w:hAnsi="Times New Roman"/>
          <w:color w:val="auto"/>
          <w:sz w:val="24"/>
          <w:szCs w:val="24"/>
        </w:rPr>
        <w:t xml:space="preserve">  </w:t>
      </w:r>
      <w:r w:rsidR="00C327D6" w:rsidRPr="00971DC2">
        <w:rPr>
          <w:rFonts w:ascii="Times New Roman" w:hAnsi="Times New Roman"/>
          <w:color w:val="auto"/>
          <w:sz w:val="24"/>
          <w:szCs w:val="24"/>
          <w:u w:val="single"/>
        </w:rPr>
        <w:t>Unutrašnji i vanjski dug</w:t>
      </w:r>
      <w:r w:rsidR="00C12BFF" w:rsidRPr="00971DC2">
        <w:rPr>
          <w:rFonts w:ascii="Times New Roman" w:hAnsi="Times New Roman"/>
          <w:color w:val="auto"/>
          <w:sz w:val="24"/>
          <w:szCs w:val="24"/>
          <w:u w:val="single"/>
        </w:rPr>
        <w:t xml:space="preserve"> i strategija otplate duga</w:t>
      </w:r>
      <w:r w:rsidR="00FC26BF" w:rsidRPr="00971DC2">
        <w:rPr>
          <w:rFonts w:ascii="Times New Roman" w:hAnsi="Times New Roman"/>
          <w:color w:val="auto"/>
          <w:sz w:val="24"/>
          <w:szCs w:val="24"/>
          <w:u w:val="single"/>
        </w:rPr>
        <w:t xml:space="preserve"> </w:t>
      </w:r>
      <w:r w:rsidR="00C12BFF" w:rsidRPr="00971DC2">
        <w:rPr>
          <w:rFonts w:ascii="Times New Roman" w:hAnsi="Times New Roman"/>
          <w:color w:val="auto"/>
          <w:sz w:val="24"/>
          <w:szCs w:val="24"/>
          <w:u w:val="single"/>
        </w:rPr>
        <w:t>USK-a</w:t>
      </w:r>
      <w:bookmarkEnd w:id="51"/>
    </w:p>
    <w:p w:rsidR="00585A35" w:rsidRDefault="00585A35" w:rsidP="00585A35">
      <w:pPr>
        <w:rPr>
          <w:lang w:val="en-US"/>
        </w:rPr>
      </w:pPr>
    </w:p>
    <w:p w:rsidR="008005E8" w:rsidRDefault="00585A35" w:rsidP="008005E8">
      <w:pPr>
        <w:jc w:val="both"/>
        <w:rPr>
          <w:sz w:val="24"/>
          <w:szCs w:val="24"/>
        </w:rPr>
      </w:pPr>
      <w:r w:rsidRPr="00DC06D7">
        <w:rPr>
          <w:sz w:val="24"/>
          <w:szCs w:val="24"/>
          <w:lang w:val="hr-HR"/>
        </w:rPr>
        <w:t xml:space="preserve">     </w:t>
      </w:r>
      <w:r w:rsidRPr="00DC06D7">
        <w:rPr>
          <w:sz w:val="24"/>
          <w:szCs w:val="24"/>
        </w:rPr>
        <w:t xml:space="preserve"> </w:t>
      </w:r>
      <w:r w:rsidR="008A476E" w:rsidRPr="008A476E">
        <w:rPr>
          <w:sz w:val="24"/>
          <w:szCs w:val="24"/>
        </w:rPr>
        <w:t>Vanjski i unutrašnji dug Unsko</w:t>
      </w:r>
      <w:r w:rsidR="008A476E" w:rsidRPr="00014F8F">
        <w:rPr>
          <w:sz w:val="24"/>
          <w:szCs w:val="24"/>
        </w:rPr>
        <w:t>-sanskog kantona regulisan je Zakonom</w:t>
      </w:r>
      <w:r w:rsidR="008A476E" w:rsidRPr="00014F8F">
        <w:rPr>
          <w:sz w:val="24"/>
          <w:szCs w:val="24"/>
          <w:lang w:val="hr-HR"/>
        </w:rPr>
        <w:t xml:space="preserve"> </w:t>
      </w:r>
      <w:r w:rsidR="008A476E" w:rsidRPr="00014F8F">
        <w:rPr>
          <w:sz w:val="24"/>
          <w:szCs w:val="24"/>
        </w:rPr>
        <w:t>o</w:t>
      </w:r>
      <w:r w:rsidR="008A476E" w:rsidRPr="00014F8F">
        <w:rPr>
          <w:sz w:val="24"/>
          <w:szCs w:val="24"/>
          <w:lang w:val="hr-HR"/>
        </w:rPr>
        <w:t xml:space="preserve"> </w:t>
      </w:r>
      <w:r w:rsidR="008A476E" w:rsidRPr="00014F8F">
        <w:rPr>
          <w:sz w:val="24"/>
          <w:szCs w:val="24"/>
        </w:rPr>
        <w:t>dugu</w:t>
      </w:r>
      <w:r w:rsidR="008A476E" w:rsidRPr="00014F8F">
        <w:rPr>
          <w:sz w:val="24"/>
          <w:szCs w:val="24"/>
          <w:lang w:val="hr-HR"/>
        </w:rPr>
        <w:t xml:space="preserve">, </w:t>
      </w:r>
      <w:r w:rsidR="008A476E" w:rsidRPr="00014F8F">
        <w:rPr>
          <w:sz w:val="24"/>
          <w:szCs w:val="24"/>
        </w:rPr>
        <w:t>zadu</w:t>
      </w:r>
      <w:r w:rsidR="008A476E" w:rsidRPr="00014F8F">
        <w:rPr>
          <w:sz w:val="24"/>
          <w:szCs w:val="24"/>
          <w:lang w:val="hr-HR"/>
        </w:rPr>
        <w:t>ž</w:t>
      </w:r>
      <w:r w:rsidR="008A476E" w:rsidRPr="00014F8F">
        <w:rPr>
          <w:sz w:val="24"/>
          <w:szCs w:val="24"/>
        </w:rPr>
        <w:t>ivanju</w:t>
      </w:r>
      <w:r w:rsidR="008A476E" w:rsidRPr="00014F8F">
        <w:rPr>
          <w:sz w:val="24"/>
          <w:szCs w:val="24"/>
          <w:lang w:val="hr-HR"/>
        </w:rPr>
        <w:t xml:space="preserve"> </w:t>
      </w:r>
      <w:r w:rsidR="008A476E" w:rsidRPr="00014F8F">
        <w:rPr>
          <w:sz w:val="24"/>
          <w:szCs w:val="24"/>
        </w:rPr>
        <w:t>i</w:t>
      </w:r>
      <w:r w:rsidR="008A476E" w:rsidRPr="00014F8F">
        <w:rPr>
          <w:sz w:val="24"/>
          <w:szCs w:val="24"/>
          <w:lang w:val="hr-HR"/>
        </w:rPr>
        <w:t xml:space="preserve"> </w:t>
      </w:r>
      <w:r w:rsidR="008A476E" w:rsidRPr="00014F8F">
        <w:rPr>
          <w:sz w:val="24"/>
          <w:szCs w:val="24"/>
        </w:rPr>
        <w:t>garancijama</w:t>
      </w:r>
      <w:r w:rsidR="008A476E" w:rsidRPr="00014F8F">
        <w:rPr>
          <w:sz w:val="24"/>
          <w:szCs w:val="24"/>
          <w:lang w:val="hr-HR"/>
        </w:rPr>
        <w:t xml:space="preserve"> </w:t>
      </w:r>
      <w:r w:rsidR="008A476E" w:rsidRPr="00014F8F">
        <w:rPr>
          <w:sz w:val="24"/>
          <w:szCs w:val="24"/>
        </w:rPr>
        <w:t>u</w:t>
      </w:r>
      <w:r w:rsidR="008A476E" w:rsidRPr="00014F8F">
        <w:rPr>
          <w:sz w:val="24"/>
          <w:szCs w:val="24"/>
          <w:lang w:val="hr-HR"/>
        </w:rPr>
        <w:t xml:space="preserve"> </w:t>
      </w:r>
      <w:r w:rsidR="008A476E" w:rsidRPr="00014F8F">
        <w:rPr>
          <w:sz w:val="24"/>
          <w:szCs w:val="24"/>
        </w:rPr>
        <w:t>Federaciji</w:t>
      </w:r>
      <w:r w:rsidR="008A476E" w:rsidRPr="00014F8F">
        <w:rPr>
          <w:sz w:val="24"/>
          <w:szCs w:val="24"/>
          <w:lang w:val="hr-HR"/>
        </w:rPr>
        <w:t xml:space="preserve"> </w:t>
      </w:r>
      <w:r w:rsidR="008A476E" w:rsidRPr="00014F8F">
        <w:rPr>
          <w:sz w:val="24"/>
          <w:szCs w:val="24"/>
        </w:rPr>
        <w:t>Bosne</w:t>
      </w:r>
      <w:r w:rsidR="008A476E" w:rsidRPr="00014F8F">
        <w:rPr>
          <w:sz w:val="24"/>
          <w:szCs w:val="24"/>
          <w:lang w:val="hr-HR"/>
        </w:rPr>
        <w:t xml:space="preserve"> </w:t>
      </w:r>
      <w:r w:rsidR="008A476E" w:rsidRPr="00014F8F">
        <w:rPr>
          <w:sz w:val="24"/>
          <w:szCs w:val="24"/>
        </w:rPr>
        <w:t>i</w:t>
      </w:r>
      <w:r w:rsidR="008A476E" w:rsidRPr="00014F8F">
        <w:rPr>
          <w:sz w:val="24"/>
          <w:szCs w:val="24"/>
          <w:lang w:val="hr-HR"/>
        </w:rPr>
        <w:t xml:space="preserve"> </w:t>
      </w:r>
      <w:r w:rsidR="008A476E" w:rsidRPr="00014F8F">
        <w:rPr>
          <w:sz w:val="24"/>
          <w:szCs w:val="24"/>
        </w:rPr>
        <w:t>Hercegovine</w:t>
      </w:r>
      <w:r w:rsidR="008A476E" w:rsidRPr="00014F8F">
        <w:rPr>
          <w:sz w:val="24"/>
          <w:szCs w:val="24"/>
          <w:lang w:val="hr-HR"/>
        </w:rPr>
        <w:t xml:space="preserve"> („Službene novine FBiH“ broj 86/07, 24/09,  44/10) , Zakonom o budžetima u Federaciji BiH </w:t>
      </w:r>
      <w:r w:rsidR="008A476E" w:rsidRPr="00014F8F">
        <w:rPr>
          <w:sz w:val="24"/>
          <w:szCs w:val="24"/>
        </w:rPr>
        <w:t>BiH (“Službene novine FBiH”, broj: 102/13, 9/14, 13/14,8/15,91/15</w:t>
      </w:r>
      <w:r w:rsidR="008A476E">
        <w:rPr>
          <w:sz w:val="24"/>
          <w:szCs w:val="24"/>
        </w:rPr>
        <w:t>,</w:t>
      </w:r>
      <w:r w:rsidR="008A476E" w:rsidRPr="00014F8F">
        <w:rPr>
          <w:sz w:val="24"/>
          <w:szCs w:val="24"/>
        </w:rPr>
        <w:t>102/15</w:t>
      </w:r>
      <w:r w:rsidR="008A476E">
        <w:rPr>
          <w:sz w:val="24"/>
          <w:szCs w:val="24"/>
        </w:rPr>
        <w:t>, 104/16, 5/18, 44/18,11/19 i 99/19</w:t>
      </w:r>
      <w:r w:rsidR="008A476E" w:rsidRPr="00014F8F">
        <w:rPr>
          <w:sz w:val="24"/>
          <w:szCs w:val="24"/>
        </w:rPr>
        <w:t>),  Zakonom o trezoru u Federaciji Bosne i Hercegovine („Službene novine Federacije BiH“, br</w:t>
      </w:r>
      <w:r w:rsidR="008A476E">
        <w:rPr>
          <w:sz w:val="24"/>
          <w:szCs w:val="24"/>
        </w:rPr>
        <w:t xml:space="preserve">oj </w:t>
      </w:r>
      <w:r w:rsidR="008A476E" w:rsidRPr="00014F8F">
        <w:rPr>
          <w:sz w:val="24"/>
          <w:szCs w:val="24"/>
        </w:rPr>
        <w:t xml:space="preserve">: 26/16) i Zakonom o izvršavanju Budžeta Unsko-sanskog kantona za tekuću godinu. </w:t>
      </w:r>
      <w:bookmarkStart w:id="52" w:name="_Toc9858443"/>
    </w:p>
    <w:p w:rsidR="008005E8" w:rsidRDefault="008005E8" w:rsidP="008005E8">
      <w:pPr>
        <w:jc w:val="both"/>
        <w:rPr>
          <w:sz w:val="24"/>
          <w:szCs w:val="24"/>
        </w:rPr>
      </w:pPr>
    </w:p>
    <w:p w:rsidR="008A476E" w:rsidRPr="008005E8" w:rsidRDefault="008A476E" w:rsidP="008005E8">
      <w:pPr>
        <w:jc w:val="both"/>
        <w:rPr>
          <w:b/>
          <w:bCs/>
          <w:sz w:val="24"/>
          <w:szCs w:val="24"/>
          <w:u w:val="single"/>
        </w:rPr>
      </w:pPr>
      <w:r w:rsidRPr="008005E8">
        <w:rPr>
          <w:b/>
          <w:bCs/>
          <w:sz w:val="24"/>
          <w:szCs w:val="24"/>
          <w:u w:val="single"/>
        </w:rPr>
        <w:t>Obaveze kantona</w:t>
      </w:r>
      <w:bookmarkEnd w:id="52"/>
      <w:r w:rsidRPr="008005E8">
        <w:rPr>
          <w:b/>
          <w:bCs/>
          <w:sz w:val="24"/>
          <w:szCs w:val="24"/>
          <w:u w:val="single"/>
        </w:rPr>
        <w:t xml:space="preserve"> </w:t>
      </w:r>
    </w:p>
    <w:p w:rsidR="008A476E" w:rsidRDefault="008A476E" w:rsidP="008A476E">
      <w:pPr>
        <w:jc w:val="both"/>
        <w:rPr>
          <w:sz w:val="24"/>
          <w:szCs w:val="24"/>
          <w:lang w:val="hr-HR"/>
        </w:rPr>
      </w:pPr>
      <w:r w:rsidRPr="00946586">
        <w:rPr>
          <w:sz w:val="24"/>
          <w:szCs w:val="24"/>
          <w:lang w:val="hr-HR"/>
        </w:rPr>
        <w:t>Na osnovu podataka iz konsolidiranog godišnjeg obračuna kantona ukupne obaveze kantona na dan 31.12. 201</w:t>
      </w:r>
      <w:r>
        <w:rPr>
          <w:sz w:val="24"/>
          <w:szCs w:val="24"/>
          <w:lang w:val="hr-HR"/>
        </w:rPr>
        <w:t>9</w:t>
      </w:r>
      <w:r w:rsidRPr="00946586">
        <w:rPr>
          <w:sz w:val="24"/>
          <w:szCs w:val="24"/>
          <w:lang w:val="hr-HR"/>
        </w:rPr>
        <w:t xml:space="preserve">. godine iznose </w:t>
      </w:r>
      <w:r>
        <w:rPr>
          <w:sz w:val="24"/>
          <w:szCs w:val="24"/>
          <w:lang w:val="hr-HR"/>
        </w:rPr>
        <w:t>111.324.660</w:t>
      </w:r>
      <w:r w:rsidRPr="00946586">
        <w:rPr>
          <w:sz w:val="24"/>
          <w:szCs w:val="24"/>
          <w:lang w:val="hr-HR"/>
        </w:rPr>
        <w:t xml:space="preserve"> KM, i to : </w:t>
      </w:r>
    </w:p>
    <w:p w:rsidR="008A476E" w:rsidRPr="00816BC4" w:rsidRDefault="008A476E" w:rsidP="008A476E">
      <w:pPr>
        <w:jc w:val="both"/>
        <w:rPr>
          <w:color w:val="000000"/>
          <w:sz w:val="24"/>
          <w:szCs w:val="24"/>
          <w:lang w:val="bs-Latn-BA"/>
        </w:rPr>
      </w:pPr>
      <w:r w:rsidRPr="00946586">
        <w:rPr>
          <w:sz w:val="24"/>
          <w:szCs w:val="24"/>
          <w:lang w:val="hr-HR"/>
        </w:rPr>
        <w:t>Kratkoročne obaveze i razgraničenja --------</w:t>
      </w:r>
      <w:r>
        <w:rPr>
          <w:color w:val="000000"/>
          <w:sz w:val="24"/>
          <w:szCs w:val="24"/>
        </w:rPr>
        <w:t>59.327.810 KM</w:t>
      </w:r>
      <w:r w:rsidRPr="00946586">
        <w:t xml:space="preserve"> </w:t>
      </w:r>
      <w:r w:rsidRPr="00946586">
        <w:rPr>
          <w:sz w:val="24"/>
          <w:szCs w:val="24"/>
          <w:lang w:val="hr-HR"/>
        </w:rPr>
        <w:t xml:space="preserve"> </w:t>
      </w:r>
    </w:p>
    <w:p w:rsidR="008A476E" w:rsidRPr="006F0F90" w:rsidRDefault="008A476E" w:rsidP="008A476E">
      <w:pPr>
        <w:ind w:left="-41"/>
        <w:jc w:val="both"/>
        <w:rPr>
          <w:sz w:val="24"/>
          <w:szCs w:val="24"/>
        </w:rPr>
      </w:pPr>
      <w:r w:rsidRPr="00946586">
        <w:rPr>
          <w:sz w:val="24"/>
          <w:szCs w:val="24"/>
          <w:lang w:val="hr-HR"/>
        </w:rPr>
        <w:t>Dugoročne obaveze ----------------------------</w:t>
      </w:r>
      <w:r>
        <w:rPr>
          <w:sz w:val="24"/>
          <w:szCs w:val="24"/>
          <w:lang w:val="hr-HR"/>
        </w:rPr>
        <w:t>-</w:t>
      </w:r>
      <w:r>
        <w:rPr>
          <w:sz w:val="24"/>
          <w:szCs w:val="24"/>
        </w:rPr>
        <w:t>51.996.850 KM</w:t>
      </w:r>
      <w:r w:rsidRPr="00946586">
        <w:rPr>
          <w:sz w:val="24"/>
          <w:szCs w:val="24"/>
          <w:lang w:val="hr-HR"/>
        </w:rPr>
        <w:t xml:space="preserve"> </w:t>
      </w:r>
    </w:p>
    <w:p w:rsidR="008A476E" w:rsidRPr="008A476E" w:rsidRDefault="008A476E" w:rsidP="008A476E">
      <w:pPr>
        <w:jc w:val="both"/>
        <w:rPr>
          <w:color w:val="000000"/>
          <w:sz w:val="24"/>
          <w:szCs w:val="24"/>
        </w:rPr>
      </w:pPr>
      <w:r w:rsidRPr="008A476E">
        <w:rPr>
          <w:color w:val="000000"/>
          <w:sz w:val="24"/>
          <w:szCs w:val="24"/>
        </w:rPr>
        <w:t xml:space="preserve">Dospjele obaveze po pravosnažnim presudama i izvršnim sudskim rješenjima na dan 31.03.2020.g iznose 82.840.734 KM i nisu evidentirane u glavnoj knjizi Trezora. Navedene obaveze su knjižene u vanbilansnoj evidenciji i iste nisu utjecala na finansijski rezultat. </w:t>
      </w:r>
    </w:p>
    <w:p w:rsidR="008A476E" w:rsidRPr="00300C20" w:rsidRDefault="008A476E" w:rsidP="008A476E">
      <w:pPr>
        <w:jc w:val="both"/>
        <w:rPr>
          <w:b/>
          <w:sz w:val="24"/>
        </w:rPr>
      </w:pPr>
      <w:r w:rsidRPr="00732C06">
        <w:rPr>
          <w:i/>
          <w:sz w:val="24"/>
        </w:rPr>
        <w:t xml:space="preserve">Prihodi s kojima raspolaže Kanton, kao i projekcije za trogodišnji period, nisu dovoljni da se isfinansiraju sve zakonom propisane tekuće obaveze Kantona, te bi za ove namjene trebalo uz pomoć viših nivoa vlasti </w:t>
      </w:r>
      <w:r w:rsidRPr="00732C06">
        <w:rPr>
          <w:b/>
          <w:sz w:val="24"/>
        </w:rPr>
        <w:t>obezbjediti sredstva za prevazilaženje ovog problema</w:t>
      </w:r>
      <w:r w:rsidRPr="00732C06">
        <w:rPr>
          <w:sz w:val="24"/>
        </w:rPr>
        <w:t xml:space="preserve">, </w:t>
      </w:r>
      <w:r w:rsidRPr="00732C06">
        <w:rPr>
          <w:b/>
          <w:sz w:val="24"/>
        </w:rPr>
        <w:t>koji iz dana u dan postaje sve teži i prouzrokuje stvaranje dodatnih</w:t>
      </w:r>
      <w:r>
        <w:rPr>
          <w:b/>
          <w:sz w:val="24"/>
        </w:rPr>
        <w:t xml:space="preserve"> </w:t>
      </w:r>
      <w:r w:rsidRPr="00732C06">
        <w:rPr>
          <w:b/>
          <w:sz w:val="24"/>
        </w:rPr>
        <w:t>većih troškova za Kanton, koji ga mogu dovesti u opću nelikvidnost i blokadu.</w:t>
      </w:r>
      <w:bookmarkStart w:id="53" w:name="_Toc9858444"/>
    </w:p>
    <w:p w:rsidR="008A476E" w:rsidRPr="008005E8" w:rsidRDefault="008A476E" w:rsidP="008A476E">
      <w:pPr>
        <w:pStyle w:val="Heading4"/>
        <w:rPr>
          <w:b w:val="0"/>
          <w:bCs w:val="0"/>
          <w:sz w:val="24"/>
          <w:szCs w:val="24"/>
          <w:u w:val="single"/>
        </w:rPr>
      </w:pPr>
      <w:r w:rsidRPr="008005E8">
        <w:rPr>
          <w:b w:val="0"/>
          <w:bCs w:val="0"/>
          <w:sz w:val="24"/>
          <w:szCs w:val="24"/>
          <w:u w:val="single"/>
        </w:rPr>
        <w:t>Kratkoročne obaveze</w:t>
      </w:r>
      <w:bookmarkEnd w:id="53"/>
      <w:r w:rsidRPr="008005E8">
        <w:rPr>
          <w:b w:val="0"/>
          <w:bCs w:val="0"/>
          <w:sz w:val="24"/>
          <w:szCs w:val="24"/>
          <w:u w:val="single"/>
        </w:rPr>
        <w:tab/>
      </w:r>
    </w:p>
    <w:p w:rsidR="008005E8" w:rsidRDefault="008A476E" w:rsidP="008005E8">
      <w:pPr>
        <w:ind w:firstLine="720"/>
        <w:jc w:val="both"/>
        <w:rPr>
          <w:sz w:val="24"/>
          <w:szCs w:val="24"/>
        </w:rPr>
      </w:pPr>
      <w:r w:rsidRPr="004131E5">
        <w:rPr>
          <w:sz w:val="24"/>
          <w:szCs w:val="24"/>
        </w:rPr>
        <w:t xml:space="preserve">Kratkoročne obaveze </w:t>
      </w:r>
      <w:r>
        <w:rPr>
          <w:sz w:val="24"/>
          <w:szCs w:val="24"/>
        </w:rPr>
        <w:t xml:space="preserve">Kantona na dan 31.12.2019. godine iznose 59,33 mil KM i </w:t>
      </w:r>
      <w:r w:rsidRPr="00AD2A1C">
        <w:t xml:space="preserve"> </w:t>
      </w:r>
      <w:r w:rsidRPr="00816566">
        <w:rPr>
          <w:sz w:val="24"/>
          <w:szCs w:val="24"/>
        </w:rPr>
        <w:t xml:space="preserve">najvećim dijelom odnose na obaveze prema dobavljačima (pravnim i fizičkim licima) za isporučene robe i usluge  za period 2018.-2019. godina, obaveze prema dobavljačima i fizičkim licima iz vlastitih prihoda za period 2017.-2019. godina, obaveze prema udruženjima i neprofitnim organizacijama za period 2013.-2018. godine, obaveze prema centrima za socijalni rad za beneficije socijalne zaštite i obaveze prema nižim nivoima vlasti za tekuće i kapitalne grantove za period 2017.-2019. godina, obaveze prema Zavodu zdravstvenog osiguranja Unsko-sanskog kantona za osiguranje neosiguranih lica (boračke populacije, nezaposlenih lica i učenika za period 2013.-2019. godina), obaveze prema poljoprivrednim proizvođačima za subvencije u poljoprivredi u 2019. godini, obaveze za kredite i primljene pozajmice za period 2016.-2019. godina, obaveze za plaće (novembar i decembar 2019. godine) i naknade plaća uposlenika, zatim obaveza za poreze i doprinose, ostale obaveze za rad prema radnicima (nakande za topli obrok za </w:t>
      </w:r>
      <w:r w:rsidRPr="00816566">
        <w:rPr>
          <w:sz w:val="24"/>
          <w:szCs w:val="24"/>
        </w:rPr>
        <w:lastRenderedPageBreak/>
        <w:t>novembar i decembar 2019. godine, prijevoz uposlenih za period oktobar do decembar 2019. godine, pomoći u slučaju smrti ili teže bolesti za novembar i decembar 2019.godine.</w:t>
      </w:r>
      <w:bookmarkStart w:id="54" w:name="_Toc9858445"/>
    </w:p>
    <w:p w:rsidR="008005E8" w:rsidRDefault="008005E8" w:rsidP="008005E8">
      <w:pPr>
        <w:jc w:val="both"/>
        <w:rPr>
          <w:sz w:val="24"/>
          <w:szCs w:val="24"/>
        </w:rPr>
      </w:pPr>
    </w:p>
    <w:p w:rsidR="008A476E" w:rsidRDefault="008A476E" w:rsidP="008005E8">
      <w:pPr>
        <w:jc w:val="both"/>
        <w:rPr>
          <w:sz w:val="24"/>
          <w:szCs w:val="24"/>
          <w:u w:val="single"/>
        </w:rPr>
      </w:pPr>
      <w:r w:rsidRPr="008005E8">
        <w:rPr>
          <w:sz w:val="24"/>
          <w:szCs w:val="24"/>
          <w:u w:val="single"/>
        </w:rPr>
        <w:t>Dugoročne obaveze</w:t>
      </w:r>
      <w:bookmarkEnd w:id="54"/>
    </w:p>
    <w:p w:rsidR="008005E8" w:rsidRPr="008005E8" w:rsidRDefault="008005E8" w:rsidP="008005E8">
      <w:pPr>
        <w:jc w:val="both"/>
        <w:rPr>
          <w:sz w:val="24"/>
          <w:szCs w:val="24"/>
          <w:u w:val="single"/>
        </w:rPr>
      </w:pPr>
    </w:p>
    <w:p w:rsidR="008A476E" w:rsidRPr="00300C20" w:rsidRDefault="008A476E" w:rsidP="008A476E">
      <w:pPr>
        <w:jc w:val="both"/>
      </w:pPr>
      <w:r w:rsidRPr="00946586">
        <w:rPr>
          <w:sz w:val="24"/>
          <w:szCs w:val="24"/>
        </w:rPr>
        <w:t>Shodno</w:t>
      </w:r>
      <w:r w:rsidRPr="00946586">
        <w:rPr>
          <w:sz w:val="24"/>
          <w:szCs w:val="24"/>
          <w:lang w:val="hr-HR"/>
        </w:rPr>
        <w:t xml:space="preserve"> č</w:t>
      </w:r>
      <w:r w:rsidRPr="00946586">
        <w:rPr>
          <w:sz w:val="24"/>
          <w:szCs w:val="24"/>
        </w:rPr>
        <w:t>lanu</w:t>
      </w:r>
      <w:r w:rsidRPr="00946586">
        <w:rPr>
          <w:sz w:val="24"/>
          <w:szCs w:val="24"/>
          <w:lang w:val="hr-HR"/>
        </w:rPr>
        <w:t xml:space="preserve"> 7. Zakona o dugu, zaduživanju i garancijama u FBiH k</w:t>
      </w:r>
      <w:r w:rsidRPr="00946586">
        <w:rPr>
          <w:sz w:val="24"/>
          <w:szCs w:val="24"/>
        </w:rPr>
        <w:t>antoni</w:t>
      </w:r>
      <w:r w:rsidRPr="00946586">
        <w:rPr>
          <w:sz w:val="24"/>
          <w:szCs w:val="24"/>
          <w:lang w:val="hr-HR"/>
        </w:rPr>
        <w:t xml:space="preserve"> </w:t>
      </w:r>
      <w:r w:rsidRPr="00946586">
        <w:rPr>
          <w:sz w:val="24"/>
          <w:szCs w:val="24"/>
        </w:rPr>
        <w:t>se</w:t>
      </w:r>
      <w:r w:rsidRPr="00946586">
        <w:rPr>
          <w:sz w:val="24"/>
          <w:szCs w:val="24"/>
          <w:lang w:val="hr-HR"/>
        </w:rPr>
        <w:t xml:space="preserve"> </w:t>
      </w:r>
      <w:r w:rsidRPr="00946586">
        <w:rPr>
          <w:sz w:val="24"/>
          <w:szCs w:val="24"/>
        </w:rPr>
        <w:t>mogu</w:t>
      </w:r>
      <w:r w:rsidRPr="00946586">
        <w:rPr>
          <w:sz w:val="24"/>
          <w:szCs w:val="24"/>
          <w:lang w:val="hr-HR"/>
        </w:rPr>
        <w:t xml:space="preserve"> </w:t>
      </w:r>
      <w:r w:rsidRPr="00946586">
        <w:rPr>
          <w:sz w:val="24"/>
          <w:szCs w:val="24"/>
        </w:rPr>
        <w:t>dugoro</w:t>
      </w:r>
      <w:r w:rsidRPr="00946586">
        <w:rPr>
          <w:sz w:val="24"/>
          <w:szCs w:val="24"/>
          <w:lang w:val="hr-HR"/>
        </w:rPr>
        <w:t>č</w:t>
      </w:r>
      <w:r w:rsidRPr="00946586">
        <w:rPr>
          <w:sz w:val="24"/>
          <w:szCs w:val="24"/>
        </w:rPr>
        <w:t>no</w:t>
      </w:r>
      <w:r w:rsidRPr="00946586">
        <w:rPr>
          <w:sz w:val="24"/>
          <w:szCs w:val="24"/>
          <w:lang w:val="hr-HR"/>
        </w:rPr>
        <w:t xml:space="preserve"> </w:t>
      </w:r>
      <w:r w:rsidRPr="00946586">
        <w:rPr>
          <w:sz w:val="24"/>
          <w:szCs w:val="24"/>
        </w:rPr>
        <w:t>zadu</w:t>
      </w:r>
      <w:r w:rsidRPr="00946586">
        <w:rPr>
          <w:sz w:val="24"/>
          <w:szCs w:val="24"/>
          <w:lang w:val="hr-HR"/>
        </w:rPr>
        <w:t>ž</w:t>
      </w:r>
      <w:r w:rsidRPr="00946586">
        <w:rPr>
          <w:sz w:val="24"/>
          <w:szCs w:val="24"/>
        </w:rPr>
        <w:t>iti</w:t>
      </w:r>
      <w:r w:rsidRPr="00946586">
        <w:rPr>
          <w:sz w:val="24"/>
          <w:szCs w:val="24"/>
          <w:lang w:val="hr-HR"/>
        </w:rPr>
        <w:t xml:space="preserve"> </w:t>
      </w:r>
      <w:r w:rsidRPr="00946586">
        <w:rPr>
          <w:sz w:val="24"/>
          <w:szCs w:val="24"/>
        </w:rPr>
        <w:t>ukoliko</w:t>
      </w:r>
      <w:r w:rsidRPr="00946586">
        <w:rPr>
          <w:sz w:val="24"/>
          <w:szCs w:val="24"/>
          <w:lang w:val="hr-HR"/>
        </w:rPr>
        <w:t xml:space="preserve"> </w:t>
      </w:r>
      <w:r w:rsidRPr="00946586">
        <w:rPr>
          <w:sz w:val="24"/>
          <w:szCs w:val="24"/>
        </w:rPr>
        <w:t>u</w:t>
      </w:r>
      <w:r w:rsidRPr="00946586">
        <w:rPr>
          <w:sz w:val="24"/>
          <w:szCs w:val="24"/>
          <w:lang w:val="hr-HR"/>
        </w:rPr>
        <w:t xml:space="preserve"> </w:t>
      </w:r>
      <w:r w:rsidRPr="00946586">
        <w:rPr>
          <w:sz w:val="24"/>
          <w:szCs w:val="24"/>
        </w:rPr>
        <w:t>vrijeme</w:t>
      </w:r>
      <w:r w:rsidRPr="00946586">
        <w:rPr>
          <w:sz w:val="24"/>
          <w:szCs w:val="24"/>
          <w:lang w:val="hr-HR"/>
        </w:rPr>
        <w:t xml:space="preserve"> </w:t>
      </w:r>
      <w:r w:rsidRPr="00946586">
        <w:rPr>
          <w:sz w:val="24"/>
          <w:szCs w:val="24"/>
        </w:rPr>
        <w:t>dugoro</w:t>
      </w:r>
      <w:r w:rsidRPr="00946586">
        <w:rPr>
          <w:sz w:val="24"/>
          <w:szCs w:val="24"/>
          <w:lang w:val="hr-HR"/>
        </w:rPr>
        <w:t>č</w:t>
      </w:r>
      <w:r w:rsidRPr="00946586">
        <w:rPr>
          <w:sz w:val="24"/>
          <w:szCs w:val="24"/>
        </w:rPr>
        <w:t>nog</w:t>
      </w:r>
      <w:r w:rsidRPr="00946586">
        <w:rPr>
          <w:sz w:val="24"/>
          <w:szCs w:val="24"/>
          <w:lang w:val="hr-HR"/>
        </w:rPr>
        <w:t xml:space="preserve"> </w:t>
      </w:r>
      <w:r w:rsidRPr="00946586">
        <w:rPr>
          <w:sz w:val="24"/>
          <w:szCs w:val="24"/>
        </w:rPr>
        <w:t>zadu</w:t>
      </w:r>
      <w:r w:rsidRPr="00946586">
        <w:rPr>
          <w:sz w:val="24"/>
          <w:szCs w:val="24"/>
          <w:lang w:val="hr-HR"/>
        </w:rPr>
        <w:t>ž</w:t>
      </w:r>
      <w:r w:rsidRPr="00946586">
        <w:rPr>
          <w:sz w:val="24"/>
          <w:szCs w:val="24"/>
        </w:rPr>
        <w:t>enja</w:t>
      </w:r>
      <w:r w:rsidRPr="00946586">
        <w:rPr>
          <w:sz w:val="24"/>
          <w:szCs w:val="24"/>
          <w:lang w:val="hr-HR"/>
        </w:rPr>
        <w:t xml:space="preserve"> </w:t>
      </w:r>
      <w:r w:rsidRPr="00946586">
        <w:rPr>
          <w:sz w:val="24"/>
          <w:szCs w:val="24"/>
        </w:rPr>
        <w:t>iznos</w:t>
      </w:r>
      <w:r w:rsidRPr="00946586">
        <w:rPr>
          <w:sz w:val="24"/>
          <w:szCs w:val="24"/>
          <w:lang w:val="hr-HR"/>
        </w:rPr>
        <w:t xml:space="preserve"> </w:t>
      </w:r>
      <w:r w:rsidRPr="00946586">
        <w:rPr>
          <w:sz w:val="24"/>
          <w:szCs w:val="24"/>
        </w:rPr>
        <w:t>servisiranja</w:t>
      </w:r>
      <w:r w:rsidRPr="00946586">
        <w:rPr>
          <w:sz w:val="24"/>
          <w:szCs w:val="24"/>
          <w:lang w:val="hr-HR"/>
        </w:rPr>
        <w:t xml:space="preserve"> </w:t>
      </w:r>
      <w:r w:rsidRPr="00946586">
        <w:rPr>
          <w:sz w:val="24"/>
          <w:szCs w:val="24"/>
        </w:rPr>
        <w:t>duga</w:t>
      </w:r>
      <w:r w:rsidRPr="00946586">
        <w:rPr>
          <w:sz w:val="24"/>
          <w:szCs w:val="24"/>
          <w:lang w:val="hr-HR"/>
        </w:rPr>
        <w:t xml:space="preserve"> </w:t>
      </w:r>
      <w:r w:rsidRPr="00946586">
        <w:rPr>
          <w:sz w:val="24"/>
          <w:szCs w:val="24"/>
        </w:rPr>
        <w:t>za</w:t>
      </w:r>
      <w:r w:rsidRPr="00946586">
        <w:rPr>
          <w:sz w:val="24"/>
          <w:szCs w:val="24"/>
          <w:lang w:val="hr-HR"/>
        </w:rPr>
        <w:t xml:space="preserve"> </w:t>
      </w:r>
      <w:r w:rsidRPr="00946586">
        <w:rPr>
          <w:sz w:val="24"/>
          <w:szCs w:val="24"/>
        </w:rPr>
        <w:t>ukupan</w:t>
      </w:r>
      <w:r w:rsidRPr="00946586">
        <w:rPr>
          <w:sz w:val="24"/>
          <w:szCs w:val="24"/>
          <w:lang w:val="hr-HR"/>
        </w:rPr>
        <w:t xml:space="preserve"> </w:t>
      </w:r>
      <w:r w:rsidRPr="00946586">
        <w:rPr>
          <w:sz w:val="24"/>
          <w:szCs w:val="24"/>
        </w:rPr>
        <w:t>unutra</w:t>
      </w:r>
      <w:r w:rsidRPr="00946586">
        <w:rPr>
          <w:sz w:val="24"/>
          <w:szCs w:val="24"/>
          <w:lang w:val="hr-HR"/>
        </w:rPr>
        <w:t>š</w:t>
      </w:r>
      <w:r w:rsidRPr="00946586">
        <w:rPr>
          <w:sz w:val="24"/>
          <w:szCs w:val="24"/>
        </w:rPr>
        <w:t>nji</w:t>
      </w:r>
      <w:r w:rsidRPr="00946586">
        <w:rPr>
          <w:sz w:val="24"/>
          <w:szCs w:val="24"/>
          <w:lang w:val="hr-HR"/>
        </w:rPr>
        <w:t xml:space="preserve"> i </w:t>
      </w:r>
      <w:r w:rsidRPr="00946586">
        <w:rPr>
          <w:sz w:val="24"/>
          <w:szCs w:val="24"/>
        </w:rPr>
        <w:t>vanjski</w:t>
      </w:r>
      <w:r w:rsidRPr="00946586">
        <w:rPr>
          <w:sz w:val="24"/>
          <w:szCs w:val="24"/>
          <w:lang w:val="hr-HR"/>
        </w:rPr>
        <w:t xml:space="preserve"> </w:t>
      </w:r>
      <w:r w:rsidRPr="00946586">
        <w:rPr>
          <w:sz w:val="24"/>
          <w:szCs w:val="24"/>
        </w:rPr>
        <w:t>dug</w:t>
      </w:r>
      <w:r w:rsidRPr="00946586">
        <w:rPr>
          <w:sz w:val="24"/>
          <w:szCs w:val="24"/>
          <w:lang w:val="hr-HR"/>
        </w:rPr>
        <w:t xml:space="preserve"> </w:t>
      </w:r>
      <w:r w:rsidRPr="00946586">
        <w:rPr>
          <w:sz w:val="24"/>
          <w:szCs w:val="24"/>
        </w:rPr>
        <w:t>i</w:t>
      </w:r>
      <w:r w:rsidRPr="00946586">
        <w:rPr>
          <w:sz w:val="24"/>
          <w:szCs w:val="24"/>
          <w:lang w:val="hr-HR"/>
        </w:rPr>
        <w:t xml:space="preserve"> </w:t>
      </w:r>
      <w:r w:rsidRPr="00946586">
        <w:rPr>
          <w:sz w:val="24"/>
          <w:szCs w:val="24"/>
        </w:rPr>
        <w:t>garancije</w:t>
      </w:r>
      <w:r w:rsidRPr="00946586">
        <w:rPr>
          <w:sz w:val="24"/>
          <w:szCs w:val="24"/>
          <w:lang w:val="hr-HR"/>
        </w:rPr>
        <w:t xml:space="preserve"> </w:t>
      </w:r>
      <w:r w:rsidRPr="00946586">
        <w:rPr>
          <w:sz w:val="24"/>
          <w:szCs w:val="24"/>
        </w:rPr>
        <w:t>koje</w:t>
      </w:r>
      <w:r w:rsidRPr="00946586">
        <w:rPr>
          <w:sz w:val="24"/>
          <w:szCs w:val="24"/>
          <w:lang w:val="hr-HR"/>
        </w:rPr>
        <w:t xml:space="preserve"> </w:t>
      </w:r>
      <w:r w:rsidRPr="00946586">
        <w:rPr>
          <w:sz w:val="24"/>
          <w:szCs w:val="24"/>
        </w:rPr>
        <w:t>dospjevaju</w:t>
      </w:r>
      <w:r w:rsidRPr="00946586">
        <w:rPr>
          <w:sz w:val="24"/>
          <w:szCs w:val="24"/>
          <w:lang w:val="hr-HR"/>
        </w:rPr>
        <w:t xml:space="preserve"> </w:t>
      </w:r>
      <w:r w:rsidRPr="00946586">
        <w:rPr>
          <w:sz w:val="24"/>
          <w:szCs w:val="24"/>
        </w:rPr>
        <w:t>u</w:t>
      </w:r>
      <w:r w:rsidRPr="00946586">
        <w:rPr>
          <w:sz w:val="24"/>
          <w:szCs w:val="24"/>
          <w:lang w:val="hr-HR"/>
        </w:rPr>
        <w:t xml:space="preserve"> </w:t>
      </w:r>
      <w:r w:rsidRPr="00946586">
        <w:rPr>
          <w:sz w:val="24"/>
          <w:szCs w:val="24"/>
        </w:rPr>
        <w:t>svakoj</w:t>
      </w:r>
      <w:r w:rsidRPr="00946586">
        <w:rPr>
          <w:sz w:val="24"/>
          <w:szCs w:val="24"/>
          <w:lang w:val="hr-HR"/>
        </w:rPr>
        <w:t xml:space="preserve"> </w:t>
      </w:r>
      <w:r w:rsidRPr="00946586">
        <w:rPr>
          <w:sz w:val="24"/>
          <w:szCs w:val="24"/>
        </w:rPr>
        <w:t>narednoj godini</w:t>
      </w:r>
      <w:r w:rsidRPr="00946586">
        <w:rPr>
          <w:sz w:val="24"/>
          <w:szCs w:val="24"/>
          <w:lang w:val="hr-HR"/>
        </w:rPr>
        <w:t xml:space="preserve">, </w:t>
      </w:r>
      <w:r w:rsidRPr="00946586">
        <w:rPr>
          <w:sz w:val="24"/>
          <w:szCs w:val="24"/>
        </w:rPr>
        <w:t>uklju</w:t>
      </w:r>
      <w:r w:rsidRPr="00946586">
        <w:rPr>
          <w:sz w:val="24"/>
          <w:szCs w:val="24"/>
          <w:lang w:val="hr-HR"/>
        </w:rPr>
        <w:t>č</w:t>
      </w:r>
      <w:r w:rsidRPr="00946586">
        <w:rPr>
          <w:sz w:val="24"/>
          <w:szCs w:val="24"/>
        </w:rPr>
        <w:t>uju</w:t>
      </w:r>
      <w:r w:rsidRPr="00946586">
        <w:rPr>
          <w:sz w:val="24"/>
          <w:szCs w:val="24"/>
          <w:lang w:val="hr-HR"/>
        </w:rPr>
        <w:t>ć</w:t>
      </w:r>
      <w:r w:rsidRPr="00946586">
        <w:rPr>
          <w:sz w:val="24"/>
          <w:szCs w:val="24"/>
        </w:rPr>
        <w:t>i</w:t>
      </w:r>
      <w:r w:rsidRPr="00946586">
        <w:rPr>
          <w:sz w:val="24"/>
          <w:szCs w:val="24"/>
          <w:lang w:val="hr-HR"/>
        </w:rPr>
        <w:t xml:space="preserve"> </w:t>
      </w:r>
      <w:r w:rsidRPr="00946586">
        <w:rPr>
          <w:sz w:val="24"/>
          <w:szCs w:val="24"/>
        </w:rPr>
        <w:t>i</w:t>
      </w:r>
      <w:r w:rsidRPr="00946586">
        <w:rPr>
          <w:sz w:val="24"/>
          <w:szCs w:val="24"/>
          <w:lang w:val="hr-HR"/>
        </w:rPr>
        <w:t xml:space="preserve"> </w:t>
      </w:r>
      <w:r w:rsidRPr="00946586">
        <w:rPr>
          <w:sz w:val="24"/>
          <w:szCs w:val="24"/>
        </w:rPr>
        <w:t>servisiranje</w:t>
      </w:r>
      <w:r w:rsidRPr="00946586">
        <w:rPr>
          <w:sz w:val="24"/>
          <w:szCs w:val="24"/>
          <w:lang w:val="hr-HR"/>
        </w:rPr>
        <w:t xml:space="preserve"> </w:t>
      </w:r>
      <w:r w:rsidRPr="00946586">
        <w:rPr>
          <w:sz w:val="24"/>
          <w:szCs w:val="24"/>
        </w:rPr>
        <w:t>za</w:t>
      </w:r>
      <w:r w:rsidRPr="00946586">
        <w:rPr>
          <w:sz w:val="24"/>
          <w:szCs w:val="24"/>
          <w:lang w:val="hr-HR"/>
        </w:rPr>
        <w:t xml:space="preserve"> </w:t>
      </w:r>
      <w:r w:rsidRPr="00946586">
        <w:rPr>
          <w:sz w:val="24"/>
          <w:szCs w:val="24"/>
        </w:rPr>
        <w:t>predlo</w:t>
      </w:r>
      <w:r w:rsidRPr="00946586">
        <w:rPr>
          <w:sz w:val="24"/>
          <w:szCs w:val="24"/>
          <w:lang w:val="hr-HR"/>
        </w:rPr>
        <w:t>ž</w:t>
      </w:r>
      <w:r w:rsidRPr="00946586">
        <w:rPr>
          <w:sz w:val="24"/>
          <w:szCs w:val="24"/>
        </w:rPr>
        <w:t>eno</w:t>
      </w:r>
      <w:r w:rsidRPr="00946586">
        <w:rPr>
          <w:sz w:val="24"/>
          <w:szCs w:val="24"/>
          <w:lang w:val="hr-HR"/>
        </w:rPr>
        <w:t xml:space="preserve"> </w:t>
      </w:r>
      <w:r w:rsidRPr="00946586">
        <w:rPr>
          <w:sz w:val="24"/>
          <w:szCs w:val="24"/>
        </w:rPr>
        <w:t>novo</w:t>
      </w:r>
      <w:r w:rsidRPr="00946586">
        <w:rPr>
          <w:sz w:val="24"/>
          <w:szCs w:val="24"/>
          <w:lang w:val="hr-HR"/>
        </w:rPr>
        <w:t xml:space="preserve"> </w:t>
      </w:r>
      <w:r w:rsidRPr="00946586">
        <w:rPr>
          <w:sz w:val="24"/>
          <w:szCs w:val="24"/>
        </w:rPr>
        <w:t>zadu</w:t>
      </w:r>
      <w:r w:rsidRPr="00946586">
        <w:rPr>
          <w:sz w:val="24"/>
          <w:szCs w:val="24"/>
          <w:lang w:val="hr-HR"/>
        </w:rPr>
        <w:t>ž</w:t>
      </w:r>
      <w:r w:rsidRPr="00946586">
        <w:rPr>
          <w:sz w:val="24"/>
          <w:szCs w:val="24"/>
        </w:rPr>
        <w:t>enje</w:t>
      </w:r>
      <w:r w:rsidRPr="00946586">
        <w:rPr>
          <w:sz w:val="24"/>
          <w:szCs w:val="24"/>
          <w:lang w:val="hr-HR"/>
        </w:rPr>
        <w:t xml:space="preserve"> </w:t>
      </w:r>
      <w:r w:rsidRPr="00946586">
        <w:rPr>
          <w:sz w:val="24"/>
          <w:szCs w:val="24"/>
        </w:rPr>
        <w:t>i</w:t>
      </w:r>
      <w:r w:rsidRPr="00946586">
        <w:rPr>
          <w:sz w:val="24"/>
          <w:szCs w:val="24"/>
          <w:lang w:val="hr-HR"/>
        </w:rPr>
        <w:t xml:space="preserve"> </w:t>
      </w:r>
      <w:r w:rsidRPr="00946586">
        <w:rPr>
          <w:sz w:val="24"/>
          <w:szCs w:val="24"/>
        </w:rPr>
        <w:t>sve</w:t>
      </w:r>
      <w:r w:rsidRPr="00946586">
        <w:rPr>
          <w:sz w:val="24"/>
          <w:szCs w:val="24"/>
          <w:lang w:val="hr-HR"/>
        </w:rPr>
        <w:t xml:space="preserve"> </w:t>
      </w:r>
      <w:r w:rsidRPr="00946586">
        <w:rPr>
          <w:sz w:val="24"/>
          <w:szCs w:val="24"/>
        </w:rPr>
        <w:t>zajmove</w:t>
      </w:r>
      <w:r w:rsidRPr="00946586">
        <w:rPr>
          <w:sz w:val="24"/>
          <w:szCs w:val="24"/>
          <w:lang w:val="hr-HR"/>
        </w:rPr>
        <w:t xml:space="preserve"> </w:t>
      </w:r>
      <w:r w:rsidRPr="00946586">
        <w:rPr>
          <w:sz w:val="24"/>
          <w:szCs w:val="24"/>
        </w:rPr>
        <w:t>za</w:t>
      </w:r>
      <w:r w:rsidRPr="00946586">
        <w:rPr>
          <w:sz w:val="24"/>
          <w:szCs w:val="24"/>
          <w:lang w:val="hr-HR"/>
        </w:rPr>
        <w:t xml:space="preserve"> </w:t>
      </w:r>
      <w:r w:rsidRPr="00946586">
        <w:rPr>
          <w:sz w:val="24"/>
          <w:szCs w:val="24"/>
        </w:rPr>
        <w:t>koje</w:t>
      </w:r>
      <w:r w:rsidRPr="00946586">
        <w:rPr>
          <w:sz w:val="24"/>
          <w:szCs w:val="24"/>
          <w:lang w:val="hr-HR"/>
        </w:rPr>
        <w:t xml:space="preserve"> </w:t>
      </w:r>
      <w:r w:rsidRPr="00946586">
        <w:rPr>
          <w:sz w:val="24"/>
          <w:szCs w:val="24"/>
        </w:rPr>
        <w:t>su</w:t>
      </w:r>
      <w:r w:rsidRPr="00946586">
        <w:rPr>
          <w:sz w:val="24"/>
          <w:szCs w:val="24"/>
          <w:lang w:val="hr-HR"/>
        </w:rPr>
        <w:t xml:space="preserve"> </w:t>
      </w:r>
      <w:r w:rsidRPr="00946586">
        <w:rPr>
          <w:sz w:val="24"/>
          <w:szCs w:val="24"/>
        </w:rPr>
        <w:t>izdate</w:t>
      </w:r>
      <w:r w:rsidRPr="00946586">
        <w:rPr>
          <w:sz w:val="24"/>
          <w:szCs w:val="24"/>
          <w:lang w:val="hr-HR"/>
        </w:rPr>
        <w:t xml:space="preserve"> </w:t>
      </w:r>
      <w:r w:rsidRPr="00946586">
        <w:rPr>
          <w:sz w:val="24"/>
          <w:szCs w:val="24"/>
        </w:rPr>
        <w:t>garancije</w:t>
      </w:r>
      <w:r w:rsidRPr="00946586">
        <w:rPr>
          <w:sz w:val="24"/>
          <w:szCs w:val="24"/>
          <w:lang w:val="hr-HR"/>
        </w:rPr>
        <w:t xml:space="preserve"> </w:t>
      </w:r>
      <w:r w:rsidRPr="00946586">
        <w:rPr>
          <w:sz w:val="24"/>
          <w:szCs w:val="24"/>
        </w:rPr>
        <w:t>kantona</w:t>
      </w:r>
      <w:r w:rsidRPr="00946586">
        <w:rPr>
          <w:sz w:val="24"/>
          <w:szCs w:val="24"/>
          <w:lang w:val="hr-HR"/>
        </w:rPr>
        <w:t xml:space="preserve">, </w:t>
      </w:r>
      <w:r w:rsidRPr="00946586">
        <w:rPr>
          <w:sz w:val="24"/>
          <w:szCs w:val="24"/>
        </w:rPr>
        <w:t>ne</w:t>
      </w:r>
      <w:r w:rsidRPr="00946586">
        <w:rPr>
          <w:sz w:val="24"/>
          <w:szCs w:val="24"/>
          <w:lang w:val="hr-HR"/>
        </w:rPr>
        <w:t xml:space="preserve"> </w:t>
      </w:r>
      <w:r w:rsidRPr="00946586">
        <w:rPr>
          <w:sz w:val="24"/>
          <w:szCs w:val="24"/>
        </w:rPr>
        <w:t>prelaze</w:t>
      </w:r>
      <w:r w:rsidRPr="00946586">
        <w:rPr>
          <w:sz w:val="24"/>
          <w:szCs w:val="24"/>
          <w:lang w:val="hr-HR"/>
        </w:rPr>
        <w:t xml:space="preserve"> 10 % </w:t>
      </w:r>
      <w:r w:rsidRPr="00946586">
        <w:rPr>
          <w:sz w:val="24"/>
          <w:szCs w:val="24"/>
        </w:rPr>
        <w:t>prihoda</w:t>
      </w:r>
      <w:r w:rsidRPr="00946586">
        <w:rPr>
          <w:sz w:val="24"/>
          <w:szCs w:val="24"/>
          <w:lang w:val="hr-HR"/>
        </w:rPr>
        <w:t xml:space="preserve"> </w:t>
      </w:r>
      <w:r w:rsidRPr="00946586">
        <w:rPr>
          <w:sz w:val="24"/>
          <w:szCs w:val="24"/>
        </w:rPr>
        <w:t>ostvarenih</w:t>
      </w:r>
      <w:r w:rsidRPr="00946586">
        <w:rPr>
          <w:sz w:val="24"/>
          <w:szCs w:val="24"/>
          <w:lang w:val="hr-HR"/>
        </w:rPr>
        <w:t xml:space="preserve"> </w:t>
      </w:r>
      <w:r w:rsidRPr="00946586">
        <w:rPr>
          <w:sz w:val="24"/>
          <w:szCs w:val="24"/>
        </w:rPr>
        <w:t>u</w:t>
      </w:r>
      <w:r w:rsidRPr="00946586">
        <w:rPr>
          <w:sz w:val="24"/>
          <w:szCs w:val="24"/>
          <w:lang w:val="hr-HR"/>
        </w:rPr>
        <w:t xml:space="preserve"> </w:t>
      </w:r>
      <w:r w:rsidRPr="00946586">
        <w:rPr>
          <w:sz w:val="24"/>
          <w:szCs w:val="24"/>
        </w:rPr>
        <w:t>predhodnoj</w:t>
      </w:r>
      <w:r w:rsidRPr="00946586">
        <w:rPr>
          <w:sz w:val="24"/>
          <w:szCs w:val="24"/>
          <w:lang w:val="hr-HR"/>
        </w:rPr>
        <w:t xml:space="preserve"> </w:t>
      </w:r>
      <w:r w:rsidRPr="00946586">
        <w:rPr>
          <w:sz w:val="24"/>
          <w:szCs w:val="24"/>
        </w:rPr>
        <w:t>fiskalnoj</w:t>
      </w:r>
      <w:r w:rsidRPr="00946586">
        <w:rPr>
          <w:sz w:val="24"/>
          <w:szCs w:val="24"/>
          <w:lang w:val="hr-HR"/>
        </w:rPr>
        <w:t xml:space="preserve"> </w:t>
      </w:r>
      <w:r w:rsidRPr="00946586">
        <w:rPr>
          <w:sz w:val="24"/>
          <w:szCs w:val="24"/>
        </w:rPr>
        <w:t>godini</w:t>
      </w:r>
      <w:r w:rsidRPr="00946586">
        <w:rPr>
          <w:sz w:val="24"/>
          <w:szCs w:val="24"/>
          <w:lang w:val="hr-HR"/>
        </w:rPr>
        <w:t xml:space="preserve"> </w:t>
      </w:r>
      <w:r w:rsidRPr="00946586">
        <w:rPr>
          <w:sz w:val="24"/>
          <w:szCs w:val="24"/>
        </w:rPr>
        <w:t>i</w:t>
      </w:r>
      <w:r w:rsidRPr="00946586">
        <w:rPr>
          <w:sz w:val="24"/>
          <w:szCs w:val="24"/>
          <w:lang w:val="hr-HR"/>
        </w:rPr>
        <w:t xml:space="preserve"> </w:t>
      </w:r>
      <w:r w:rsidRPr="00946586">
        <w:rPr>
          <w:sz w:val="24"/>
          <w:szCs w:val="24"/>
        </w:rPr>
        <w:t>u</w:t>
      </w:r>
      <w:r w:rsidRPr="00946586">
        <w:rPr>
          <w:sz w:val="24"/>
          <w:szCs w:val="24"/>
          <w:lang w:val="hr-HR"/>
        </w:rPr>
        <w:t xml:space="preserve"> </w:t>
      </w:r>
      <w:r w:rsidRPr="00946586">
        <w:rPr>
          <w:sz w:val="24"/>
          <w:szCs w:val="24"/>
        </w:rPr>
        <w:t>okvirima</w:t>
      </w:r>
      <w:r w:rsidRPr="00946586">
        <w:rPr>
          <w:sz w:val="24"/>
          <w:szCs w:val="24"/>
          <w:lang w:val="hr-HR"/>
        </w:rPr>
        <w:t xml:space="preserve"> </w:t>
      </w:r>
      <w:r w:rsidRPr="00946586">
        <w:rPr>
          <w:sz w:val="24"/>
          <w:szCs w:val="24"/>
        </w:rPr>
        <w:t>ograni</w:t>
      </w:r>
      <w:r w:rsidRPr="00946586">
        <w:rPr>
          <w:sz w:val="24"/>
          <w:szCs w:val="24"/>
          <w:lang w:val="hr-HR"/>
        </w:rPr>
        <w:t>č</w:t>
      </w:r>
      <w:r w:rsidRPr="00946586">
        <w:rPr>
          <w:sz w:val="24"/>
          <w:szCs w:val="24"/>
        </w:rPr>
        <w:t>enja</w:t>
      </w:r>
      <w:r w:rsidRPr="00946586">
        <w:rPr>
          <w:sz w:val="24"/>
          <w:szCs w:val="24"/>
          <w:lang w:val="hr-HR"/>
        </w:rPr>
        <w:t xml:space="preserve"> </w:t>
      </w:r>
      <w:r w:rsidRPr="00946586">
        <w:rPr>
          <w:sz w:val="24"/>
          <w:szCs w:val="24"/>
        </w:rPr>
        <w:t>u</w:t>
      </w:r>
      <w:r w:rsidRPr="00946586">
        <w:rPr>
          <w:sz w:val="24"/>
          <w:szCs w:val="24"/>
          <w:lang w:val="hr-HR"/>
        </w:rPr>
        <w:t xml:space="preserve"> </w:t>
      </w:r>
      <w:r w:rsidRPr="00946586">
        <w:rPr>
          <w:sz w:val="24"/>
          <w:szCs w:val="24"/>
        </w:rPr>
        <w:t>skladu</w:t>
      </w:r>
      <w:r w:rsidRPr="00946586">
        <w:rPr>
          <w:sz w:val="24"/>
          <w:szCs w:val="24"/>
          <w:lang w:val="hr-HR"/>
        </w:rPr>
        <w:t xml:space="preserve"> </w:t>
      </w:r>
      <w:r w:rsidRPr="00946586">
        <w:rPr>
          <w:sz w:val="24"/>
          <w:szCs w:val="24"/>
        </w:rPr>
        <w:t>sa</w:t>
      </w:r>
      <w:r w:rsidRPr="00946586">
        <w:rPr>
          <w:sz w:val="24"/>
          <w:szCs w:val="24"/>
          <w:lang w:val="hr-HR"/>
        </w:rPr>
        <w:t xml:space="preserve"> </w:t>
      </w:r>
      <w:r w:rsidRPr="00946586">
        <w:rPr>
          <w:sz w:val="24"/>
          <w:szCs w:val="24"/>
        </w:rPr>
        <w:t>procedurom</w:t>
      </w:r>
      <w:r w:rsidRPr="00946586">
        <w:rPr>
          <w:sz w:val="24"/>
          <w:szCs w:val="24"/>
          <w:lang w:val="hr-HR"/>
        </w:rPr>
        <w:t xml:space="preserve"> </w:t>
      </w:r>
      <w:r w:rsidRPr="00946586">
        <w:rPr>
          <w:sz w:val="24"/>
          <w:szCs w:val="24"/>
        </w:rPr>
        <w:t>definiranom</w:t>
      </w:r>
      <w:r w:rsidRPr="00946586">
        <w:rPr>
          <w:sz w:val="24"/>
          <w:szCs w:val="24"/>
          <w:lang w:val="hr-HR"/>
        </w:rPr>
        <w:t xml:space="preserve"> </w:t>
      </w:r>
      <w:r w:rsidRPr="00946586">
        <w:rPr>
          <w:sz w:val="24"/>
          <w:szCs w:val="24"/>
        </w:rPr>
        <w:t>u</w:t>
      </w:r>
      <w:r w:rsidRPr="00946586">
        <w:rPr>
          <w:sz w:val="24"/>
          <w:szCs w:val="24"/>
          <w:lang w:val="hr-HR"/>
        </w:rPr>
        <w:t xml:space="preserve"> </w:t>
      </w:r>
      <w:r w:rsidRPr="00946586">
        <w:rPr>
          <w:sz w:val="24"/>
          <w:szCs w:val="24"/>
        </w:rPr>
        <w:t>Zakonu</w:t>
      </w:r>
      <w:r w:rsidRPr="00946586">
        <w:rPr>
          <w:sz w:val="24"/>
          <w:szCs w:val="24"/>
          <w:lang w:val="hr-HR"/>
        </w:rPr>
        <w:t xml:space="preserve"> </w:t>
      </w:r>
      <w:r w:rsidRPr="00946586">
        <w:rPr>
          <w:sz w:val="24"/>
          <w:szCs w:val="24"/>
        </w:rPr>
        <w:t>o</w:t>
      </w:r>
      <w:r w:rsidRPr="00946586">
        <w:rPr>
          <w:sz w:val="24"/>
          <w:szCs w:val="24"/>
          <w:lang w:val="hr-HR"/>
        </w:rPr>
        <w:t xml:space="preserve"> </w:t>
      </w:r>
      <w:r w:rsidRPr="00946586">
        <w:rPr>
          <w:sz w:val="24"/>
          <w:szCs w:val="24"/>
        </w:rPr>
        <w:t>dugu</w:t>
      </w:r>
      <w:r w:rsidRPr="00946586">
        <w:rPr>
          <w:sz w:val="24"/>
          <w:szCs w:val="24"/>
          <w:lang w:val="hr-HR"/>
        </w:rPr>
        <w:t>.</w:t>
      </w:r>
      <w:r w:rsidRPr="00946586">
        <w:t xml:space="preserve">                                   </w:t>
      </w:r>
    </w:p>
    <w:p w:rsidR="008A476E" w:rsidRDefault="008A476E" w:rsidP="008A476E">
      <w:pPr>
        <w:jc w:val="both"/>
        <w:rPr>
          <w:sz w:val="24"/>
          <w:szCs w:val="24"/>
        </w:rPr>
      </w:pPr>
      <w:r w:rsidRPr="00B96E3A">
        <w:rPr>
          <w:b/>
          <w:sz w:val="24"/>
        </w:rPr>
        <w:t>Dugoročne obaveze</w:t>
      </w:r>
      <w:r w:rsidRPr="00946586">
        <w:rPr>
          <w:sz w:val="24"/>
        </w:rPr>
        <w:t xml:space="preserve"> iskazane </w:t>
      </w:r>
      <w:r>
        <w:rPr>
          <w:sz w:val="24"/>
        </w:rPr>
        <w:t xml:space="preserve">su </w:t>
      </w:r>
      <w:r w:rsidRPr="00946586">
        <w:rPr>
          <w:sz w:val="24"/>
        </w:rPr>
        <w:t>u bilansu stanja na dan 31.12.201</w:t>
      </w:r>
      <w:r>
        <w:rPr>
          <w:sz w:val="24"/>
        </w:rPr>
        <w:t>9</w:t>
      </w:r>
      <w:r w:rsidRPr="00946586">
        <w:rPr>
          <w:sz w:val="24"/>
        </w:rPr>
        <w:t xml:space="preserve">. godine u ukupnom iznosu od </w:t>
      </w:r>
      <w:r>
        <w:rPr>
          <w:sz w:val="24"/>
          <w:szCs w:val="24"/>
        </w:rPr>
        <w:t xml:space="preserve">51.996.850 </w:t>
      </w:r>
      <w:r w:rsidRPr="00946586">
        <w:rPr>
          <w:sz w:val="24"/>
        </w:rPr>
        <w:t xml:space="preserve">KM, a odnose se na obaveze po osnovu dugoročnih kredita </w:t>
      </w:r>
      <w:r w:rsidRPr="00946586">
        <w:rPr>
          <w:sz w:val="24"/>
          <w:szCs w:val="24"/>
        </w:rPr>
        <w:t>(glavnica+kamata</w:t>
      </w:r>
      <w:r>
        <w:rPr>
          <w:sz w:val="24"/>
          <w:szCs w:val="24"/>
        </w:rPr>
        <w:t>)</w:t>
      </w:r>
    </w:p>
    <w:p w:rsidR="008A476E" w:rsidRDefault="008A476E" w:rsidP="008A476E">
      <w:pPr>
        <w:tabs>
          <w:tab w:val="left" w:pos="2430"/>
        </w:tabs>
        <w:jc w:val="both"/>
        <w:rPr>
          <w:sz w:val="24"/>
          <w:szCs w:val="24"/>
        </w:rPr>
      </w:pPr>
    </w:p>
    <w:p w:rsidR="008A476E" w:rsidRDefault="008A476E" w:rsidP="008A476E">
      <w:pPr>
        <w:tabs>
          <w:tab w:val="left" w:pos="2430"/>
        </w:tabs>
        <w:jc w:val="both"/>
        <w:rPr>
          <w:sz w:val="24"/>
          <w:szCs w:val="24"/>
        </w:rPr>
      </w:pPr>
    </w:p>
    <w:p w:rsidR="008A476E" w:rsidRDefault="008A476E" w:rsidP="008A476E">
      <w:pPr>
        <w:tabs>
          <w:tab w:val="left" w:pos="2430"/>
        </w:tabs>
        <w:jc w:val="both"/>
        <w:rPr>
          <w:sz w:val="24"/>
          <w:szCs w:val="24"/>
        </w:rPr>
      </w:pPr>
      <w:r w:rsidRPr="00946586">
        <w:rPr>
          <w:sz w:val="24"/>
          <w:szCs w:val="24"/>
        </w:rPr>
        <w:t xml:space="preserve">U Tabeli koja slijedi prikazano je stanje dugoročnog duga kanton na </w:t>
      </w:r>
      <w:r w:rsidRPr="00F213AC">
        <w:rPr>
          <w:sz w:val="24"/>
          <w:szCs w:val="24"/>
        </w:rPr>
        <w:t>dan 31.03.2020. godina te</w:t>
      </w:r>
      <w:r w:rsidRPr="00946586">
        <w:rPr>
          <w:sz w:val="24"/>
          <w:szCs w:val="24"/>
        </w:rPr>
        <w:t xml:space="preserve"> servisiranje istog u tekućoj i naredne dvije godine.</w:t>
      </w:r>
    </w:p>
    <w:tbl>
      <w:tblPr>
        <w:tblW w:w="10132" w:type="dxa"/>
        <w:tblInd w:w="-113" w:type="dxa"/>
        <w:tblLook w:val="04A0"/>
      </w:tblPr>
      <w:tblGrid>
        <w:gridCol w:w="1655"/>
        <w:gridCol w:w="785"/>
        <w:gridCol w:w="732"/>
        <w:gridCol w:w="681"/>
        <w:gridCol w:w="584"/>
        <w:gridCol w:w="661"/>
        <w:gridCol w:w="682"/>
        <w:gridCol w:w="661"/>
        <w:gridCol w:w="682"/>
        <w:gridCol w:w="701"/>
        <w:gridCol w:w="704"/>
        <w:gridCol w:w="1382"/>
        <w:gridCol w:w="222"/>
      </w:tblGrid>
      <w:tr w:rsidR="008A476E" w:rsidRPr="001D0C9C" w:rsidTr="00354E8D">
        <w:trPr>
          <w:gridAfter w:val="1"/>
          <w:wAfter w:w="222" w:type="dxa"/>
          <w:trHeight w:val="450"/>
        </w:trPr>
        <w:tc>
          <w:tcPr>
            <w:tcW w:w="1655" w:type="dxa"/>
            <w:vMerge w:val="restart"/>
            <w:tcBorders>
              <w:top w:val="single" w:sz="4" w:space="0" w:color="auto"/>
              <w:left w:val="single" w:sz="4" w:space="0" w:color="auto"/>
              <w:bottom w:val="single" w:sz="8" w:space="0" w:color="000000"/>
              <w:right w:val="single" w:sz="8" w:space="0" w:color="auto"/>
            </w:tcBorders>
            <w:shd w:val="clear" w:color="000000" w:fill="FFFFFF"/>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Zaduženje kantona</w:t>
            </w:r>
          </w:p>
        </w:tc>
        <w:tc>
          <w:tcPr>
            <w:tcW w:w="1517" w:type="dxa"/>
            <w:gridSpan w:val="2"/>
            <w:vMerge w:val="restart"/>
            <w:tcBorders>
              <w:top w:val="single" w:sz="4" w:space="0" w:color="auto"/>
              <w:left w:val="single" w:sz="8" w:space="0" w:color="auto"/>
              <w:bottom w:val="single" w:sz="8" w:space="0" w:color="000000"/>
              <w:right w:val="single" w:sz="8" w:space="0" w:color="000000"/>
            </w:tcBorders>
            <w:shd w:val="clear" w:color="000000" w:fill="FFFFFF"/>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Stanje duga 31.03.2020.</w:t>
            </w:r>
          </w:p>
        </w:tc>
        <w:tc>
          <w:tcPr>
            <w:tcW w:w="5356" w:type="dxa"/>
            <w:gridSpan w:val="8"/>
            <w:vMerge w:val="restart"/>
            <w:tcBorders>
              <w:top w:val="single" w:sz="4" w:space="0" w:color="auto"/>
              <w:left w:val="single" w:sz="8" w:space="0" w:color="000000"/>
              <w:bottom w:val="single" w:sz="8" w:space="0" w:color="000000"/>
              <w:right w:val="single" w:sz="8" w:space="0" w:color="000000"/>
            </w:tcBorders>
            <w:shd w:val="clear" w:color="000000" w:fill="FFFFFF"/>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Servisiranje duga</w:t>
            </w:r>
          </w:p>
        </w:tc>
        <w:tc>
          <w:tcPr>
            <w:tcW w:w="1382" w:type="dxa"/>
            <w:vMerge w:val="restart"/>
            <w:tcBorders>
              <w:top w:val="single" w:sz="4" w:space="0" w:color="auto"/>
              <w:left w:val="single" w:sz="8" w:space="0" w:color="000000"/>
              <w:bottom w:val="single" w:sz="8" w:space="0" w:color="000000"/>
              <w:right w:val="single" w:sz="4" w:space="0" w:color="auto"/>
            </w:tcBorders>
            <w:shd w:val="clear" w:color="000000" w:fill="FFFFFF"/>
            <w:noWrap/>
            <w:hideMark/>
          </w:tcPr>
          <w:p w:rsidR="008A476E" w:rsidRPr="001D0C9C" w:rsidRDefault="008A476E" w:rsidP="00354E8D">
            <w:pPr>
              <w:rPr>
                <w:rFonts w:cs="Calibri"/>
                <w:color w:val="000000"/>
                <w:sz w:val="20"/>
                <w:lang w:val="hr-HR" w:eastAsia="hr-HR"/>
              </w:rPr>
            </w:pPr>
            <w:r w:rsidRPr="001D0C9C">
              <w:rPr>
                <w:rFonts w:cs="Calibri"/>
                <w:color w:val="000000"/>
                <w:sz w:val="20"/>
                <w:lang w:val="hr-HR" w:eastAsia="hr-HR"/>
              </w:rPr>
              <w:t> </w:t>
            </w:r>
          </w:p>
        </w:tc>
      </w:tr>
      <w:tr w:rsidR="008A476E" w:rsidRPr="001D0C9C" w:rsidTr="00354E8D">
        <w:trPr>
          <w:trHeight w:val="321"/>
        </w:trPr>
        <w:tc>
          <w:tcPr>
            <w:tcW w:w="1655" w:type="dxa"/>
            <w:vMerge/>
            <w:tcBorders>
              <w:top w:val="single" w:sz="8" w:space="0" w:color="auto"/>
              <w:left w:val="single" w:sz="4" w:space="0" w:color="auto"/>
              <w:bottom w:val="single" w:sz="8" w:space="0" w:color="000000"/>
              <w:right w:val="single" w:sz="8" w:space="0" w:color="auto"/>
            </w:tcBorders>
            <w:vAlign w:val="center"/>
            <w:hideMark/>
          </w:tcPr>
          <w:p w:rsidR="008A476E" w:rsidRPr="001D0C9C" w:rsidRDefault="008A476E" w:rsidP="00354E8D">
            <w:pPr>
              <w:rPr>
                <w:b/>
                <w:bCs/>
                <w:color w:val="000000"/>
                <w:sz w:val="16"/>
                <w:szCs w:val="16"/>
                <w:lang w:val="hr-HR" w:eastAsia="hr-HR"/>
              </w:rPr>
            </w:pPr>
          </w:p>
        </w:tc>
        <w:tc>
          <w:tcPr>
            <w:tcW w:w="1517" w:type="dxa"/>
            <w:gridSpan w:val="2"/>
            <w:vMerge/>
            <w:tcBorders>
              <w:top w:val="single" w:sz="8" w:space="0" w:color="auto"/>
              <w:left w:val="single" w:sz="8" w:space="0" w:color="auto"/>
              <w:bottom w:val="single" w:sz="4" w:space="0" w:color="auto"/>
              <w:right w:val="single" w:sz="8" w:space="0" w:color="000000"/>
            </w:tcBorders>
            <w:vAlign w:val="center"/>
            <w:hideMark/>
          </w:tcPr>
          <w:p w:rsidR="008A476E" w:rsidRPr="001D0C9C" w:rsidRDefault="008A476E" w:rsidP="00354E8D">
            <w:pPr>
              <w:rPr>
                <w:b/>
                <w:bCs/>
                <w:color w:val="000000"/>
                <w:sz w:val="16"/>
                <w:szCs w:val="16"/>
                <w:lang w:val="hr-HR" w:eastAsia="hr-HR"/>
              </w:rPr>
            </w:pPr>
          </w:p>
        </w:tc>
        <w:tc>
          <w:tcPr>
            <w:tcW w:w="5356" w:type="dxa"/>
            <w:gridSpan w:val="8"/>
            <w:vMerge/>
            <w:tcBorders>
              <w:top w:val="single" w:sz="8" w:space="0" w:color="auto"/>
              <w:left w:val="single" w:sz="8" w:space="0" w:color="000000"/>
              <w:bottom w:val="single" w:sz="4" w:space="0" w:color="auto"/>
              <w:right w:val="single" w:sz="8" w:space="0" w:color="000000"/>
            </w:tcBorders>
            <w:vAlign w:val="center"/>
            <w:hideMark/>
          </w:tcPr>
          <w:p w:rsidR="008A476E" w:rsidRPr="001D0C9C" w:rsidRDefault="008A476E" w:rsidP="00354E8D">
            <w:pPr>
              <w:rPr>
                <w:b/>
                <w:bCs/>
                <w:color w:val="000000"/>
                <w:sz w:val="16"/>
                <w:szCs w:val="16"/>
                <w:lang w:val="hr-HR" w:eastAsia="hr-HR"/>
              </w:rPr>
            </w:pPr>
          </w:p>
        </w:tc>
        <w:tc>
          <w:tcPr>
            <w:tcW w:w="1382" w:type="dxa"/>
            <w:vMerge/>
            <w:tcBorders>
              <w:top w:val="single" w:sz="8" w:space="0" w:color="auto"/>
              <w:left w:val="single" w:sz="8" w:space="0" w:color="000000"/>
              <w:bottom w:val="single" w:sz="8" w:space="0" w:color="000000"/>
              <w:right w:val="single" w:sz="4" w:space="0" w:color="auto"/>
            </w:tcBorders>
            <w:vAlign w:val="center"/>
            <w:hideMark/>
          </w:tcPr>
          <w:p w:rsidR="008A476E" w:rsidRPr="001D0C9C" w:rsidRDefault="008A476E" w:rsidP="00354E8D">
            <w:pPr>
              <w:rPr>
                <w:rFonts w:cs="Calibri"/>
                <w:color w:val="000000"/>
                <w:sz w:val="20"/>
                <w:lang w:val="hr-HR" w:eastAsia="hr-HR"/>
              </w:rPr>
            </w:pPr>
          </w:p>
        </w:tc>
        <w:tc>
          <w:tcPr>
            <w:tcW w:w="222" w:type="dxa"/>
            <w:tcBorders>
              <w:top w:val="nil"/>
              <w:left w:val="single" w:sz="4" w:space="0" w:color="auto"/>
              <w:bottom w:val="nil"/>
              <w:right w:val="nil"/>
            </w:tcBorders>
            <w:shd w:val="clear" w:color="auto" w:fill="auto"/>
            <w:noWrap/>
            <w:vAlign w:val="bottom"/>
          </w:tcPr>
          <w:p w:rsidR="008A476E" w:rsidRPr="001D0C9C" w:rsidRDefault="008A476E" w:rsidP="00354E8D">
            <w:pPr>
              <w:rPr>
                <w:rFonts w:cs="Calibri"/>
                <w:color w:val="000000"/>
                <w:sz w:val="20"/>
                <w:lang w:val="hr-HR" w:eastAsia="hr-HR"/>
              </w:rPr>
            </w:pPr>
          </w:p>
        </w:tc>
      </w:tr>
      <w:tr w:rsidR="008A476E" w:rsidRPr="001D0C9C" w:rsidTr="00354E8D">
        <w:trPr>
          <w:trHeight w:val="444"/>
        </w:trPr>
        <w:tc>
          <w:tcPr>
            <w:tcW w:w="1655" w:type="dxa"/>
            <w:tcBorders>
              <w:top w:val="nil"/>
              <w:left w:val="single" w:sz="4" w:space="0" w:color="auto"/>
              <w:bottom w:val="single" w:sz="8" w:space="0" w:color="auto"/>
              <w:right w:val="single" w:sz="4" w:space="0" w:color="auto"/>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 </w:t>
            </w:r>
          </w:p>
        </w:tc>
        <w:tc>
          <w:tcPr>
            <w:tcW w:w="785" w:type="dxa"/>
            <w:tcBorders>
              <w:top w:val="single" w:sz="4" w:space="0" w:color="auto"/>
              <w:left w:val="single" w:sz="4" w:space="0" w:color="auto"/>
              <w:bottom w:val="single" w:sz="4" w:space="0" w:color="auto"/>
              <w:right w:val="single" w:sz="8" w:space="0" w:color="auto"/>
            </w:tcBorders>
            <w:shd w:val="clear" w:color="000000" w:fill="FFFFFF"/>
            <w:vAlign w:val="center"/>
            <w:hideMark/>
          </w:tcPr>
          <w:p w:rsidR="008A476E" w:rsidRPr="001D0C9C" w:rsidRDefault="008A476E" w:rsidP="00354E8D">
            <w:pPr>
              <w:rPr>
                <w:b/>
                <w:bCs/>
                <w:color w:val="000000"/>
                <w:sz w:val="16"/>
                <w:szCs w:val="16"/>
                <w:lang w:val="hr-HR" w:eastAsia="hr-HR"/>
              </w:rPr>
            </w:pPr>
            <w:r w:rsidRPr="001D0C9C">
              <w:rPr>
                <w:b/>
                <w:bCs/>
                <w:color w:val="000000"/>
                <w:sz w:val="16"/>
                <w:szCs w:val="16"/>
                <w:lang w:val="hr-HR" w:eastAsia="hr-HR"/>
              </w:rPr>
              <w:t xml:space="preserve">glavnica </w:t>
            </w:r>
          </w:p>
        </w:tc>
        <w:tc>
          <w:tcPr>
            <w:tcW w:w="732" w:type="dxa"/>
            <w:tcBorders>
              <w:top w:val="single" w:sz="4" w:space="0" w:color="auto"/>
              <w:left w:val="nil"/>
              <w:bottom w:val="single" w:sz="4" w:space="0" w:color="auto"/>
              <w:right w:val="single" w:sz="8" w:space="0" w:color="auto"/>
            </w:tcBorders>
            <w:shd w:val="clear" w:color="000000" w:fill="FFFFFF"/>
            <w:vAlign w:val="center"/>
            <w:hideMark/>
          </w:tcPr>
          <w:p w:rsidR="008A476E" w:rsidRPr="001D0C9C" w:rsidRDefault="008A476E" w:rsidP="00354E8D">
            <w:pPr>
              <w:rPr>
                <w:b/>
                <w:bCs/>
                <w:color w:val="000000"/>
                <w:sz w:val="16"/>
                <w:szCs w:val="16"/>
                <w:lang w:val="hr-HR" w:eastAsia="hr-HR"/>
              </w:rPr>
            </w:pPr>
            <w:r w:rsidRPr="001D0C9C">
              <w:rPr>
                <w:b/>
                <w:bCs/>
                <w:color w:val="000000"/>
                <w:sz w:val="16"/>
                <w:szCs w:val="16"/>
                <w:lang w:val="hr-HR" w:eastAsia="hr-HR"/>
              </w:rPr>
              <w:t>kamata</w:t>
            </w:r>
          </w:p>
        </w:tc>
        <w:tc>
          <w:tcPr>
            <w:tcW w:w="681" w:type="dxa"/>
            <w:tcBorders>
              <w:top w:val="single" w:sz="4" w:space="0" w:color="auto"/>
              <w:left w:val="nil"/>
              <w:bottom w:val="single" w:sz="4" w:space="0" w:color="auto"/>
              <w:right w:val="nil"/>
            </w:tcBorders>
            <w:shd w:val="clear" w:color="000000" w:fill="FFFFFF"/>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2020</w:t>
            </w:r>
          </w:p>
        </w:tc>
        <w:tc>
          <w:tcPr>
            <w:tcW w:w="584" w:type="dxa"/>
            <w:tcBorders>
              <w:top w:val="single" w:sz="4" w:space="0" w:color="auto"/>
              <w:left w:val="nil"/>
              <w:bottom w:val="single" w:sz="4" w:space="0" w:color="auto"/>
              <w:right w:val="single" w:sz="8" w:space="0" w:color="auto"/>
            </w:tcBorders>
            <w:shd w:val="clear" w:color="000000" w:fill="FFFFFF"/>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 </w:t>
            </w:r>
          </w:p>
        </w:tc>
        <w:tc>
          <w:tcPr>
            <w:tcW w:w="661" w:type="dxa"/>
            <w:tcBorders>
              <w:top w:val="single" w:sz="4" w:space="0" w:color="auto"/>
              <w:left w:val="nil"/>
              <w:bottom w:val="single" w:sz="4" w:space="0" w:color="auto"/>
              <w:right w:val="nil"/>
            </w:tcBorders>
            <w:shd w:val="clear" w:color="000000" w:fill="FFFFFF"/>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2021</w:t>
            </w:r>
          </w:p>
        </w:tc>
        <w:tc>
          <w:tcPr>
            <w:tcW w:w="682" w:type="dxa"/>
            <w:tcBorders>
              <w:top w:val="single" w:sz="4" w:space="0" w:color="auto"/>
              <w:left w:val="nil"/>
              <w:bottom w:val="single" w:sz="4" w:space="0" w:color="auto"/>
              <w:right w:val="single" w:sz="8" w:space="0" w:color="auto"/>
            </w:tcBorders>
            <w:shd w:val="clear" w:color="000000" w:fill="FFFFFF"/>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 </w:t>
            </w:r>
          </w:p>
        </w:tc>
        <w:tc>
          <w:tcPr>
            <w:tcW w:w="1343" w:type="dxa"/>
            <w:gridSpan w:val="2"/>
            <w:tcBorders>
              <w:top w:val="single" w:sz="4" w:space="0" w:color="auto"/>
              <w:left w:val="nil"/>
              <w:bottom w:val="single" w:sz="4" w:space="0" w:color="auto"/>
              <w:right w:val="single" w:sz="8" w:space="0" w:color="000000"/>
            </w:tcBorders>
            <w:shd w:val="clear" w:color="000000" w:fill="FFFFFF"/>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2022</w:t>
            </w:r>
          </w:p>
        </w:tc>
        <w:tc>
          <w:tcPr>
            <w:tcW w:w="140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2023</w:t>
            </w:r>
          </w:p>
        </w:tc>
        <w:tc>
          <w:tcPr>
            <w:tcW w:w="1382" w:type="dxa"/>
            <w:tcBorders>
              <w:top w:val="nil"/>
              <w:left w:val="single" w:sz="4" w:space="0" w:color="auto"/>
              <w:bottom w:val="single" w:sz="8" w:space="0" w:color="auto"/>
              <w:right w:val="single" w:sz="4" w:space="0" w:color="auto"/>
            </w:tcBorders>
            <w:shd w:val="clear" w:color="auto" w:fill="auto"/>
            <w:noWrap/>
            <w:vAlign w:val="center"/>
            <w:hideMark/>
          </w:tcPr>
          <w:p w:rsidR="008A476E" w:rsidRPr="001D0C9C" w:rsidRDefault="008A476E" w:rsidP="00354E8D">
            <w:pPr>
              <w:rPr>
                <w:color w:val="000000"/>
                <w:sz w:val="16"/>
                <w:szCs w:val="16"/>
                <w:lang w:val="hr-HR" w:eastAsia="hr-HR"/>
              </w:rPr>
            </w:pPr>
            <w:r w:rsidRPr="001D0C9C">
              <w:rPr>
                <w:color w:val="000000"/>
                <w:sz w:val="16"/>
                <w:szCs w:val="16"/>
                <w:lang w:val="hr-HR" w:eastAsia="hr-HR"/>
              </w:rPr>
              <w:t>mil  KM</w:t>
            </w:r>
          </w:p>
        </w:tc>
        <w:tc>
          <w:tcPr>
            <w:tcW w:w="222" w:type="dxa"/>
            <w:tcBorders>
              <w:left w:val="single" w:sz="4" w:space="0" w:color="auto"/>
            </w:tcBorders>
            <w:vAlign w:val="center"/>
          </w:tcPr>
          <w:p w:rsidR="008A476E" w:rsidRPr="001D0C9C" w:rsidRDefault="008A476E" w:rsidP="00354E8D">
            <w:pPr>
              <w:rPr>
                <w:sz w:val="20"/>
                <w:lang w:val="hr-HR" w:eastAsia="hr-HR"/>
              </w:rPr>
            </w:pPr>
          </w:p>
        </w:tc>
      </w:tr>
      <w:tr w:rsidR="008A476E" w:rsidRPr="001D0C9C" w:rsidTr="00354E8D">
        <w:trPr>
          <w:trHeight w:val="413"/>
        </w:trPr>
        <w:tc>
          <w:tcPr>
            <w:tcW w:w="1655" w:type="dxa"/>
            <w:tcBorders>
              <w:top w:val="nil"/>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Izvor finansiranja</w:t>
            </w:r>
          </w:p>
        </w:tc>
        <w:tc>
          <w:tcPr>
            <w:tcW w:w="1517" w:type="dxa"/>
            <w:gridSpan w:val="2"/>
            <w:tcBorders>
              <w:top w:val="single" w:sz="8" w:space="0" w:color="auto"/>
              <w:left w:val="single" w:sz="4" w:space="0" w:color="auto"/>
              <w:bottom w:val="single" w:sz="4" w:space="0" w:color="auto"/>
              <w:right w:val="single" w:sz="8" w:space="0" w:color="000000"/>
            </w:tcBorders>
            <w:shd w:val="clear" w:color="000000" w:fill="FFFFFF"/>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31.03.2020.</w:t>
            </w:r>
          </w:p>
        </w:tc>
        <w:tc>
          <w:tcPr>
            <w:tcW w:w="681" w:type="dxa"/>
            <w:tcBorders>
              <w:top w:val="nil"/>
              <w:left w:val="nil"/>
              <w:bottom w:val="single" w:sz="4" w:space="0" w:color="auto"/>
              <w:right w:val="single" w:sz="8" w:space="0" w:color="auto"/>
            </w:tcBorders>
            <w:shd w:val="clear" w:color="000000" w:fill="FFFFFF"/>
            <w:vAlign w:val="center"/>
            <w:hideMark/>
          </w:tcPr>
          <w:p w:rsidR="008A476E" w:rsidRPr="001D0C9C" w:rsidRDefault="008A476E" w:rsidP="00354E8D">
            <w:pPr>
              <w:rPr>
                <w:b/>
                <w:bCs/>
                <w:color w:val="000000"/>
                <w:sz w:val="16"/>
                <w:szCs w:val="16"/>
                <w:lang w:val="hr-HR" w:eastAsia="hr-HR"/>
              </w:rPr>
            </w:pPr>
            <w:r w:rsidRPr="001D0C9C">
              <w:rPr>
                <w:b/>
                <w:bCs/>
                <w:color w:val="000000"/>
                <w:sz w:val="16"/>
                <w:szCs w:val="16"/>
                <w:lang w:val="hr-HR" w:eastAsia="hr-HR"/>
              </w:rPr>
              <w:t>glav.</w:t>
            </w:r>
          </w:p>
        </w:tc>
        <w:tc>
          <w:tcPr>
            <w:tcW w:w="584" w:type="dxa"/>
            <w:tcBorders>
              <w:top w:val="nil"/>
              <w:left w:val="nil"/>
              <w:bottom w:val="single" w:sz="4" w:space="0" w:color="auto"/>
              <w:right w:val="single" w:sz="8" w:space="0" w:color="auto"/>
            </w:tcBorders>
            <w:shd w:val="clear" w:color="000000" w:fill="FFFFFF"/>
            <w:vAlign w:val="center"/>
            <w:hideMark/>
          </w:tcPr>
          <w:p w:rsidR="008A476E" w:rsidRPr="001D0C9C" w:rsidRDefault="008A476E" w:rsidP="00354E8D">
            <w:pPr>
              <w:rPr>
                <w:b/>
                <w:bCs/>
                <w:color w:val="000000"/>
                <w:sz w:val="16"/>
                <w:szCs w:val="16"/>
                <w:lang w:val="hr-HR" w:eastAsia="hr-HR"/>
              </w:rPr>
            </w:pPr>
            <w:r w:rsidRPr="001D0C9C">
              <w:rPr>
                <w:b/>
                <w:bCs/>
                <w:color w:val="000000"/>
                <w:sz w:val="16"/>
                <w:szCs w:val="16"/>
                <w:lang w:val="hr-HR" w:eastAsia="hr-HR"/>
              </w:rPr>
              <w:t>kam.</w:t>
            </w:r>
          </w:p>
        </w:tc>
        <w:tc>
          <w:tcPr>
            <w:tcW w:w="661" w:type="dxa"/>
            <w:tcBorders>
              <w:top w:val="nil"/>
              <w:left w:val="nil"/>
              <w:bottom w:val="single" w:sz="4" w:space="0" w:color="auto"/>
              <w:right w:val="single" w:sz="8" w:space="0" w:color="auto"/>
            </w:tcBorders>
            <w:shd w:val="clear" w:color="000000" w:fill="FFFFFF"/>
            <w:vAlign w:val="center"/>
            <w:hideMark/>
          </w:tcPr>
          <w:p w:rsidR="008A476E" w:rsidRPr="001D0C9C" w:rsidRDefault="008A476E" w:rsidP="00354E8D">
            <w:pPr>
              <w:rPr>
                <w:b/>
                <w:bCs/>
                <w:color w:val="000000"/>
                <w:sz w:val="16"/>
                <w:szCs w:val="16"/>
                <w:lang w:val="hr-HR" w:eastAsia="hr-HR"/>
              </w:rPr>
            </w:pPr>
            <w:r w:rsidRPr="001D0C9C">
              <w:rPr>
                <w:b/>
                <w:bCs/>
                <w:color w:val="000000"/>
                <w:sz w:val="16"/>
                <w:szCs w:val="16"/>
                <w:lang w:val="hr-HR" w:eastAsia="hr-HR"/>
              </w:rPr>
              <w:t>glav.</w:t>
            </w:r>
          </w:p>
        </w:tc>
        <w:tc>
          <w:tcPr>
            <w:tcW w:w="682" w:type="dxa"/>
            <w:tcBorders>
              <w:top w:val="nil"/>
              <w:left w:val="nil"/>
              <w:bottom w:val="single" w:sz="4" w:space="0" w:color="auto"/>
              <w:right w:val="single" w:sz="8" w:space="0" w:color="auto"/>
            </w:tcBorders>
            <w:shd w:val="clear" w:color="000000" w:fill="FFFFFF"/>
            <w:vAlign w:val="center"/>
            <w:hideMark/>
          </w:tcPr>
          <w:p w:rsidR="008A476E" w:rsidRPr="001D0C9C" w:rsidRDefault="008A476E" w:rsidP="00354E8D">
            <w:pPr>
              <w:rPr>
                <w:b/>
                <w:bCs/>
                <w:color w:val="000000"/>
                <w:sz w:val="16"/>
                <w:szCs w:val="16"/>
                <w:lang w:val="hr-HR" w:eastAsia="hr-HR"/>
              </w:rPr>
            </w:pPr>
            <w:r w:rsidRPr="001D0C9C">
              <w:rPr>
                <w:b/>
                <w:bCs/>
                <w:color w:val="000000"/>
                <w:sz w:val="16"/>
                <w:szCs w:val="16"/>
                <w:lang w:val="hr-HR" w:eastAsia="hr-HR"/>
              </w:rPr>
              <w:t>kam.</w:t>
            </w:r>
          </w:p>
        </w:tc>
        <w:tc>
          <w:tcPr>
            <w:tcW w:w="661" w:type="dxa"/>
            <w:tcBorders>
              <w:top w:val="nil"/>
              <w:left w:val="nil"/>
              <w:bottom w:val="single" w:sz="4" w:space="0" w:color="auto"/>
              <w:right w:val="single" w:sz="8" w:space="0" w:color="auto"/>
            </w:tcBorders>
            <w:shd w:val="clear" w:color="000000" w:fill="FFFFFF"/>
            <w:vAlign w:val="center"/>
            <w:hideMark/>
          </w:tcPr>
          <w:p w:rsidR="008A476E" w:rsidRPr="001D0C9C" w:rsidRDefault="008A476E" w:rsidP="00354E8D">
            <w:pPr>
              <w:rPr>
                <w:b/>
                <w:bCs/>
                <w:color w:val="000000"/>
                <w:sz w:val="16"/>
                <w:szCs w:val="16"/>
                <w:lang w:val="hr-HR" w:eastAsia="hr-HR"/>
              </w:rPr>
            </w:pPr>
            <w:r w:rsidRPr="001D0C9C">
              <w:rPr>
                <w:b/>
                <w:bCs/>
                <w:color w:val="000000"/>
                <w:sz w:val="16"/>
                <w:szCs w:val="16"/>
                <w:lang w:val="hr-HR" w:eastAsia="hr-HR"/>
              </w:rPr>
              <w:t>glav.</w:t>
            </w:r>
          </w:p>
        </w:tc>
        <w:tc>
          <w:tcPr>
            <w:tcW w:w="682" w:type="dxa"/>
            <w:tcBorders>
              <w:top w:val="nil"/>
              <w:left w:val="nil"/>
              <w:bottom w:val="single" w:sz="4" w:space="0" w:color="auto"/>
              <w:right w:val="single" w:sz="8" w:space="0" w:color="auto"/>
            </w:tcBorders>
            <w:shd w:val="clear" w:color="000000" w:fill="FFFFFF"/>
            <w:vAlign w:val="center"/>
            <w:hideMark/>
          </w:tcPr>
          <w:p w:rsidR="008A476E" w:rsidRPr="001D0C9C" w:rsidRDefault="008A476E" w:rsidP="00354E8D">
            <w:pPr>
              <w:rPr>
                <w:b/>
                <w:bCs/>
                <w:color w:val="000000"/>
                <w:sz w:val="16"/>
                <w:szCs w:val="16"/>
                <w:lang w:val="hr-HR" w:eastAsia="hr-HR"/>
              </w:rPr>
            </w:pPr>
            <w:r w:rsidRPr="001D0C9C">
              <w:rPr>
                <w:b/>
                <w:bCs/>
                <w:color w:val="000000"/>
                <w:sz w:val="16"/>
                <w:szCs w:val="16"/>
                <w:lang w:val="hr-HR" w:eastAsia="hr-HR"/>
              </w:rPr>
              <w:t>kam.</w:t>
            </w:r>
          </w:p>
        </w:tc>
        <w:tc>
          <w:tcPr>
            <w:tcW w:w="701" w:type="dxa"/>
            <w:tcBorders>
              <w:top w:val="nil"/>
              <w:left w:val="nil"/>
              <w:bottom w:val="single" w:sz="4" w:space="0" w:color="auto"/>
              <w:right w:val="single" w:sz="8" w:space="0" w:color="auto"/>
            </w:tcBorders>
            <w:shd w:val="clear" w:color="000000" w:fill="FFFFFF"/>
            <w:vAlign w:val="center"/>
            <w:hideMark/>
          </w:tcPr>
          <w:p w:rsidR="008A476E" w:rsidRPr="001D0C9C" w:rsidRDefault="008A476E" w:rsidP="00354E8D">
            <w:pPr>
              <w:rPr>
                <w:b/>
                <w:bCs/>
                <w:color w:val="000000"/>
                <w:sz w:val="16"/>
                <w:szCs w:val="16"/>
                <w:lang w:val="hr-HR" w:eastAsia="hr-HR"/>
              </w:rPr>
            </w:pPr>
            <w:r w:rsidRPr="001D0C9C">
              <w:rPr>
                <w:b/>
                <w:bCs/>
                <w:color w:val="000000"/>
                <w:sz w:val="16"/>
                <w:szCs w:val="16"/>
                <w:lang w:val="hr-HR" w:eastAsia="hr-HR"/>
              </w:rPr>
              <w:t>glav.</w:t>
            </w:r>
          </w:p>
        </w:tc>
        <w:tc>
          <w:tcPr>
            <w:tcW w:w="704" w:type="dxa"/>
            <w:tcBorders>
              <w:top w:val="nil"/>
              <w:left w:val="nil"/>
              <w:bottom w:val="single" w:sz="4" w:space="0" w:color="auto"/>
              <w:right w:val="single" w:sz="4" w:space="0" w:color="auto"/>
            </w:tcBorders>
            <w:shd w:val="clear" w:color="000000" w:fill="FFFFFF"/>
            <w:vAlign w:val="center"/>
            <w:hideMark/>
          </w:tcPr>
          <w:p w:rsidR="008A476E" w:rsidRPr="001D0C9C" w:rsidRDefault="008A476E" w:rsidP="00354E8D">
            <w:pPr>
              <w:rPr>
                <w:b/>
                <w:bCs/>
                <w:color w:val="000000"/>
                <w:sz w:val="16"/>
                <w:szCs w:val="16"/>
                <w:lang w:val="hr-HR" w:eastAsia="hr-HR"/>
              </w:rPr>
            </w:pPr>
            <w:r w:rsidRPr="001D0C9C">
              <w:rPr>
                <w:b/>
                <w:bCs/>
                <w:color w:val="000000"/>
                <w:sz w:val="16"/>
                <w:szCs w:val="16"/>
                <w:lang w:val="hr-HR" w:eastAsia="hr-HR"/>
              </w:rPr>
              <w:t>kam.</w:t>
            </w:r>
          </w:p>
        </w:tc>
        <w:tc>
          <w:tcPr>
            <w:tcW w:w="1382" w:type="dxa"/>
            <w:tcBorders>
              <w:top w:val="nil"/>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 xml:space="preserve">Namjena </w:t>
            </w:r>
          </w:p>
        </w:tc>
        <w:tc>
          <w:tcPr>
            <w:tcW w:w="222" w:type="dxa"/>
            <w:tcBorders>
              <w:left w:val="single" w:sz="4" w:space="0" w:color="auto"/>
            </w:tcBorders>
            <w:vAlign w:val="center"/>
          </w:tcPr>
          <w:p w:rsidR="008A476E" w:rsidRPr="001D0C9C" w:rsidRDefault="008A476E" w:rsidP="00354E8D">
            <w:pPr>
              <w:rPr>
                <w:sz w:val="20"/>
                <w:lang w:val="hr-HR" w:eastAsia="hr-HR"/>
              </w:rPr>
            </w:pPr>
          </w:p>
        </w:tc>
      </w:tr>
      <w:tr w:rsidR="008A476E" w:rsidRPr="001D0C9C" w:rsidTr="00354E8D">
        <w:trPr>
          <w:trHeight w:val="428"/>
        </w:trPr>
        <w:tc>
          <w:tcPr>
            <w:tcW w:w="16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rPr>
                <w:color w:val="000000"/>
                <w:sz w:val="16"/>
                <w:szCs w:val="16"/>
                <w:lang w:val="hr-HR" w:eastAsia="hr-HR"/>
              </w:rPr>
            </w:pPr>
            <w:r w:rsidRPr="001D0C9C">
              <w:rPr>
                <w:color w:val="000000"/>
                <w:sz w:val="16"/>
                <w:szCs w:val="16"/>
                <w:lang w:val="hr-HR" w:eastAsia="hr-HR"/>
              </w:rPr>
              <w:t>SAUDIJSKI FOND</w:t>
            </w:r>
          </w:p>
        </w:tc>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0,268</w:t>
            </w:r>
          </w:p>
        </w:tc>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0,008</w:t>
            </w:r>
          </w:p>
        </w:tc>
        <w:tc>
          <w:tcPr>
            <w:tcW w:w="6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0,178</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0,009</w:t>
            </w:r>
          </w:p>
        </w:tc>
        <w:tc>
          <w:tcPr>
            <w:tcW w:w="6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0,178</w:t>
            </w:r>
          </w:p>
        </w:tc>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0,004</w:t>
            </w:r>
          </w:p>
        </w:tc>
        <w:tc>
          <w:tcPr>
            <w:tcW w:w="6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 </w:t>
            </w:r>
          </w:p>
        </w:tc>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 </w:t>
            </w:r>
          </w:p>
        </w:tc>
        <w:tc>
          <w:tcPr>
            <w:tcW w:w="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 </w:t>
            </w:r>
          </w:p>
        </w:tc>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 </w:t>
            </w:r>
          </w:p>
        </w:tc>
        <w:tc>
          <w:tcPr>
            <w:tcW w:w="13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rPr>
                <w:color w:val="000000"/>
                <w:sz w:val="16"/>
                <w:szCs w:val="16"/>
                <w:lang w:val="hr-HR" w:eastAsia="hr-HR"/>
              </w:rPr>
            </w:pPr>
            <w:r w:rsidRPr="001D0C9C">
              <w:rPr>
                <w:color w:val="000000"/>
                <w:sz w:val="16"/>
                <w:szCs w:val="16"/>
                <w:lang w:val="hr-HR" w:eastAsia="hr-HR"/>
              </w:rPr>
              <w:t>Vodovod Bužim</w:t>
            </w:r>
          </w:p>
        </w:tc>
        <w:tc>
          <w:tcPr>
            <w:tcW w:w="222" w:type="dxa"/>
            <w:tcBorders>
              <w:left w:val="single" w:sz="4" w:space="0" w:color="auto"/>
            </w:tcBorders>
            <w:vAlign w:val="center"/>
          </w:tcPr>
          <w:p w:rsidR="008A476E" w:rsidRPr="001D0C9C" w:rsidRDefault="008A476E" w:rsidP="00354E8D">
            <w:pPr>
              <w:rPr>
                <w:sz w:val="20"/>
                <w:lang w:val="hr-HR" w:eastAsia="hr-HR"/>
              </w:rPr>
            </w:pPr>
          </w:p>
        </w:tc>
      </w:tr>
      <w:tr w:rsidR="008A476E" w:rsidRPr="001D0C9C" w:rsidTr="00354E8D">
        <w:trPr>
          <w:trHeight w:val="321"/>
        </w:trPr>
        <w:tc>
          <w:tcPr>
            <w:tcW w:w="16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rPr>
                <w:color w:val="000000"/>
                <w:sz w:val="16"/>
                <w:szCs w:val="16"/>
                <w:lang w:val="hr-HR" w:eastAsia="hr-HR"/>
              </w:rPr>
            </w:pPr>
            <w:r w:rsidRPr="001D0C9C">
              <w:rPr>
                <w:color w:val="000000"/>
                <w:sz w:val="16"/>
                <w:szCs w:val="16"/>
                <w:lang w:val="hr-HR" w:eastAsia="hr-HR"/>
              </w:rPr>
              <w:t>INVEST BANKA</w:t>
            </w:r>
          </w:p>
        </w:tc>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0,11</w:t>
            </w:r>
          </w:p>
        </w:tc>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0,003</w:t>
            </w:r>
          </w:p>
        </w:tc>
        <w:tc>
          <w:tcPr>
            <w:tcW w:w="6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0,073</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0,004</w:t>
            </w:r>
          </w:p>
        </w:tc>
        <w:tc>
          <w:tcPr>
            <w:tcW w:w="6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0,073</w:t>
            </w:r>
          </w:p>
        </w:tc>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0,002</w:t>
            </w:r>
          </w:p>
        </w:tc>
        <w:tc>
          <w:tcPr>
            <w:tcW w:w="6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rPr>
                <w:sz w:val="16"/>
                <w:szCs w:val="16"/>
                <w:lang w:val="hr-HR" w:eastAsia="hr-HR"/>
              </w:rPr>
            </w:pPr>
            <w:r w:rsidRPr="001D0C9C">
              <w:rPr>
                <w:sz w:val="16"/>
                <w:szCs w:val="16"/>
                <w:lang w:val="hr-HR" w:eastAsia="hr-HR"/>
              </w:rPr>
              <w:t> </w:t>
            </w:r>
          </w:p>
        </w:tc>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rPr>
                <w:sz w:val="16"/>
                <w:szCs w:val="16"/>
                <w:lang w:val="hr-HR" w:eastAsia="hr-HR"/>
              </w:rPr>
            </w:pPr>
            <w:r w:rsidRPr="001D0C9C">
              <w:rPr>
                <w:sz w:val="16"/>
                <w:szCs w:val="16"/>
                <w:lang w:val="hr-HR" w:eastAsia="hr-HR"/>
              </w:rPr>
              <w:t> </w:t>
            </w:r>
          </w:p>
        </w:tc>
        <w:tc>
          <w:tcPr>
            <w:tcW w:w="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rPr>
                <w:sz w:val="16"/>
                <w:szCs w:val="16"/>
                <w:lang w:val="hr-HR" w:eastAsia="hr-HR"/>
              </w:rPr>
            </w:pPr>
            <w:r w:rsidRPr="001D0C9C">
              <w:rPr>
                <w:sz w:val="16"/>
                <w:szCs w:val="16"/>
                <w:lang w:val="hr-HR" w:eastAsia="hr-HR"/>
              </w:rPr>
              <w:t> </w:t>
            </w:r>
          </w:p>
        </w:tc>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rPr>
                <w:sz w:val="16"/>
                <w:szCs w:val="16"/>
                <w:lang w:val="hr-HR" w:eastAsia="hr-HR"/>
              </w:rPr>
            </w:pPr>
            <w:r w:rsidRPr="001D0C9C">
              <w:rPr>
                <w:sz w:val="16"/>
                <w:szCs w:val="16"/>
                <w:lang w:val="hr-HR" w:eastAsia="hr-HR"/>
              </w:rPr>
              <w:t> </w:t>
            </w:r>
          </w:p>
        </w:tc>
        <w:tc>
          <w:tcPr>
            <w:tcW w:w="13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rPr>
                <w:color w:val="000000"/>
                <w:sz w:val="16"/>
                <w:szCs w:val="16"/>
                <w:lang w:val="hr-HR" w:eastAsia="hr-HR"/>
              </w:rPr>
            </w:pPr>
            <w:r w:rsidRPr="001D0C9C">
              <w:rPr>
                <w:color w:val="000000"/>
                <w:sz w:val="16"/>
                <w:szCs w:val="16"/>
                <w:lang w:val="hr-HR" w:eastAsia="hr-HR"/>
              </w:rPr>
              <w:t>Školski objekti</w:t>
            </w:r>
          </w:p>
        </w:tc>
        <w:tc>
          <w:tcPr>
            <w:tcW w:w="222" w:type="dxa"/>
            <w:tcBorders>
              <w:left w:val="single" w:sz="4" w:space="0" w:color="auto"/>
            </w:tcBorders>
            <w:vAlign w:val="center"/>
          </w:tcPr>
          <w:p w:rsidR="008A476E" w:rsidRPr="001D0C9C" w:rsidRDefault="008A476E" w:rsidP="00354E8D">
            <w:pPr>
              <w:rPr>
                <w:sz w:val="20"/>
                <w:lang w:val="hr-HR" w:eastAsia="hr-HR"/>
              </w:rPr>
            </w:pPr>
          </w:p>
        </w:tc>
      </w:tr>
      <w:tr w:rsidR="008A476E" w:rsidRPr="001D0C9C" w:rsidTr="00354E8D">
        <w:trPr>
          <w:trHeight w:val="321"/>
        </w:trPr>
        <w:tc>
          <w:tcPr>
            <w:tcW w:w="16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MMF</w:t>
            </w:r>
          </w:p>
        </w:tc>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5,769</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 </w:t>
            </w:r>
          </w:p>
        </w:tc>
        <w:tc>
          <w:tcPr>
            <w:tcW w:w="681" w:type="dxa"/>
            <w:tcBorders>
              <w:top w:val="single" w:sz="4" w:space="0" w:color="auto"/>
              <w:left w:val="single" w:sz="4" w:space="0" w:color="auto"/>
              <w:bottom w:val="single" w:sz="4" w:space="0" w:color="auto"/>
              <w:right w:val="single" w:sz="4" w:space="0" w:color="auto"/>
            </w:tcBorders>
            <w:shd w:val="clear" w:color="000000" w:fill="E4DFEC"/>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1,923</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476E" w:rsidRPr="001D0C9C" w:rsidRDefault="008A476E" w:rsidP="00354E8D">
            <w:pPr>
              <w:rPr>
                <w:sz w:val="16"/>
                <w:szCs w:val="16"/>
                <w:lang w:val="hr-HR" w:eastAsia="hr-HR"/>
              </w:rPr>
            </w:pPr>
            <w:r w:rsidRPr="001D0C9C">
              <w:rPr>
                <w:sz w:val="16"/>
                <w:szCs w:val="16"/>
                <w:lang w:val="hr-HR" w:eastAsia="hr-HR"/>
              </w:rPr>
              <w:t> </w:t>
            </w:r>
          </w:p>
        </w:tc>
        <w:tc>
          <w:tcPr>
            <w:tcW w:w="6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1,923</w:t>
            </w:r>
          </w:p>
        </w:tc>
        <w:tc>
          <w:tcPr>
            <w:tcW w:w="682" w:type="dxa"/>
            <w:tcBorders>
              <w:top w:val="single" w:sz="4" w:space="0" w:color="auto"/>
              <w:left w:val="single" w:sz="4" w:space="0" w:color="auto"/>
              <w:bottom w:val="single" w:sz="4" w:space="0" w:color="auto"/>
              <w:right w:val="single" w:sz="4" w:space="0" w:color="auto"/>
            </w:tcBorders>
            <w:shd w:val="clear" w:color="000000" w:fill="E4DFEC"/>
            <w:noWrap/>
            <w:vAlign w:val="center"/>
            <w:hideMark/>
          </w:tcPr>
          <w:p w:rsidR="008A476E" w:rsidRPr="001D0C9C" w:rsidRDefault="008A476E" w:rsidP="00354E8D">
            <w:pPr>
              <w:rPr>
                <w:sz w:val="16"/>
                <w:szCs w:val="16"/>
                <w:lang w:val="hr-HR" w:eastAsia="hr-HR"/>
              </w:rPr>
            </w:pPr>
            <w:r w:rsidRPr="001D0C9C">
              <w:rPr>
                <w:sz w:val="16"/>
                <w:szCs w:val="16"/>
                <w:lang w:val="hr-HR" w:eastAsia="hr-HR"/>
              </w:rPr>
              <w:t> </w:t>
            </w:r>
          </w:p>
        </w:tc>
        <w:tc>
          <w:tcPr>
            <w:tcW w:w="6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1,923</w:t>
            </w:r>
          </w:p>
        </w:tc>
        <w:tc>
          <w:tcPr>
            <w:tcW w:w="682" w:type="dxa"/>
            <w:tcBorders>
              <w:top w:val="single" w:sz="4" w:space="0" w:color="auto"/>
              <w:left w:val="single" w:sz="4" w:space="0" w:color="auto"/>
              <w:bottom w:val="single" w:sz="4" w:space="0" w:color="auto"/>
              <w:right w:val="single" w:sz="4" w:space="0" w:color="auto"/>
            </w:tcBorders>
            <w:shd w:val="clear" w:color="000000" w:fill="E4DFEC"/>
            <w:noWrap/>
            <w:vAlign w:val="center"/>
            <w:hideMark/>
          </w:tcPr>
          <w:p w:rsidR="008A476E" w:rsidRPr="001D0C9C" w:rsidRDefault="008A476E" w:rsidP="00354E8D">
            <w:pPr>
              <w:rPr>
                <w:sz w:val="16"/>
                <w:szCs w:val="16"/>
                <w:lang w:val="hr-HR" w:eastAsia="hr-HR"/>
              </w:rPr>
            </w:pPr>
            <w:r w:rsidRPr="001D0C9C">
              <w:rPr>
                <w:sz w:val="16"/>
                <w:szCs w:val="16"/>
                <w:lang w:val="hr-HR" w:eastAsia="hr-HR"/>
              </w:rPr>
              <w:t> </w:t>
            </w:r>
          </w:p>
        </w:tc>
        <w:tc>
          <w:tcPr>
            <w:tcW w:w="701" w:type="dxa"/>
            <w:tcBorders>
              <w:top w:val="single" w:sz="4" w:space="0" w:color="auto"/>
              <w:left w:val="single" w:sz="4" w:space="0" w:color="auto"/>
              <w:bottom w:val="single" w:sz="4" w:space="0" w:color="auto"/>
              <w:right w:val="single" w:sz="4" w:space="0" w:color="auto"/>
            </w:tcBorders>
            <w:shd w:val="clear" w:color="000000" w:fill="E4DFEC"/>
            <w:noWrap/>
            <w:vAlign w:val="center"/>
            <w:hideMark/>
          </w:tcPr>
          <w:p w:rsidR="008A476E" w:rsidRPr="001D0C9C" w:rsidRDefault="008A476E" w:rsidP="00354E8D">
            <w:pPr>
              <w:rPr>
                <w:sz w:val="16"/>
                <w:szCs w:val="16"/>
                <w:lang w:val="hr-HR" w:eastAsia="hr-HR"/>
              </w:rPr>
            </w:pPr>
            <w:r w:rsidRPr="001D0C9C">
              <w:rPr>
                <w:sz w:val="16"/>
                <w:szCs w:val="16"/>
                <w:lang w:val="hr-HR" w:eastAsia="hr-HR"/>
              </w:rPr>
              <w:t> </w:t>
            </w:r>
          </w:p>
        </w:tc>
        <w:tc>
          <w:tcPr>
            <w:tcW w:w="704" w:type="dxa"/>
            <w:tcBorders>
              <w:top w:val="single" w:sz="4" w:space="0" w:color="auto"/>
              <w:left w:val="single" w:sz="4" w:space="0" w:color="auto"/>
              <w:bottom w:val="single" w:sz="4" w:space="0" w:color="auto"/>
              <w:right w:val="single" w:sz="4" w:space="0" w:color="auto"/>
            </w:tcBorders>
            <w:shd w:val="clear" w:color="000000" w:fill="E4DFEC"/>
            <w:noWrap/>
            <w:vAlign w:val="center"/>
            <w:hideMark/>
          </w:tcPr>
          <w:p w:rsidR="008A476E" w:rsidRPr="001D0C9C" w:rsidRDefault="008A476E" w:rsidP="00354E8D">
            <w:pPr>
              <w:rPr>
                <w:sz w:val="16"/>
                <w:szCs w:val="16"/>
                <w:lang w:val="hr-HR" w:eastAsia="hr-HR"/>
              </w:rPr>
            </w:pPr>
            <w:r w:rsidRPr="001D0C9C">
              <w:rPr>
                <w:sz w:val="16"/>
                <w:szCs w:val="16"/>
                <w:lang w:val="hr-HR" w:eastAsia="hr-HR"/>
              </w:rPr>
              <w:t> </w:t>
            </w:r>
          </w:p>
        </w:tc>
        <w:tc>
          <w:tcPr>
            <w:tcW w:w="13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rPr>
                <w:color w:val="000000"/>
                <w:sz w:val="16"/>
                <w:szCs w:val="16"/>
                <w:lang w:val="hr-HR" w:eastAsia="hr-HR"/>
              </w:rPr>
            </w:pPr>
            <w:r w:rsidRPr="001D0C9C">
              <w:rPr>
                <w:color w:val="000000"/>
                <w:sz w:val="16"/>
                <w:szCs w:val="16"/>
                <w:lang w:val="hr-HR" w:eastAsia="hr-HR"/>
              </w:rPr>
              <w:t>Deficit budžeta</w:t>
            </w:r>
          </w:p>
        </w:tc>
        <w:tc>
          <w:tcPr>
            <w:tcW w:w="222" w:type="dxa"/>
            <w:tcBorders>
              <w:left w:val="single" w:sz="4" w:space="0" w:color="auto"/>
            </w:tcBorders>
            <w:vAlign w:val="center"/>
          </w:tcPr>
          <w:p w:rsidR="008A476E" w:rsidRPr="001D0C9C" w:rsidRDefault="008A476E" w:rsidP="00354E8D">
            <w:pPr>
              <w:rPr>
                <w:sz w:val="20"/>
                <w:lang w:val="hr-HR" w:eastAsia="hr-HR"/>
              </w:rPr>
            </w:pPr>
          </w:p>
        </w:tc>
      </w:tr>
      <w:tr w:rsidR="008A476E" w:rsidRPr="001D0C9C" w:rsidTr="00354E8D">
        <w:trPr>
          <w:trHeight w:val="321"/>
        </w:trPr>
        <w:tc>
          <w:tcPr>
            <w:tcW w:w="165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KOREJA</w:t>
            </w:r>
          </w:p>
        </w:tc>
        <w:tc>
          <w:tcPr>
            <w:tcW w:w="7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3,877</w:t>
            </w:r>
          </w:p>
        </w:tc>
        <w:tc>
          <w:tcPr>
            <w:tcW w:w="73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0,349</w:t>
            </w:r>
          </w:p>
        </w:tc>
        <w:tc>
          <w:tcPr>
            <w:tcW w:w="68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0,337</w:t>
            </w:r>
          </w:p>
        </w:tc>
        <w:tc>
          <w:tcPr>
            <w:tcW w:w="5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0,057</w:t>
            </w:r>
          </w:p>
        </w:tc>
        <w:tc>
          <w:tcPr>
            <w:tcW w:w="66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0,337</w:t>
            </w:r>
          </w:p>
        </w:tc>
        <w:tc>
          <w:tcPr>
            <w:tcW w:w="68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0,052</w:t>
            </w:r>
          </w:p>
        </w:tc>
        <w:tc>
          <w:tcPr>
            <w:tcW w:w="66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0,337</w:t>
            </w:r>
          </w:p>
        </w:tc>
        <w:tc>
          <w:tcPr>
            <w:tcW w:w="68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0,047</w:t>
            </w:r>
          </w:p>
        </w:tc>
        <w:tc>
          <w:tcPr>
            <w:tcW w:w="7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0,337</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0,042</w:t>
            </w:r>
          </w:p>
        </w:tc>
        <w:tc>
          <w:tcPr>
            <w:tcW w:w="138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Bolnica</w:t>
            </w:r>
          </w:p>
        </w:tc>
        <w:tc>
          <w:tcPr>
            <w:tcW w:w="222" w:type="dxa"/>
            <w:tcBorders>
              <w:left w:val="single" w:sz="4" w:space="0" w:color="auto"/>
            </w:tcBorders>
            <w:vAlign w:val="center"/>
          </w:tcPr>
          <w:p w:rsidR="008A476E" w:rsidRPr="001D0C9C" w:rsidRDefault="008A476E" w:rsidP="00354E8D">
            <w:pPr>
              <w:rPr>
                <w:sz w:val="20"/>
                <w:lang w:val="hr-HR" w:eastAsia="hr-HR"/>
              </w:rPr>
            </w:pPr>
          </w:p>
        </w:tc>
      </w:tr>
      <w:tr w:rsidR="008A476E" w:rsidRPr="001D0C9C" w:rsidTr="00354E8D">
        <w:trPr>
          <w:trHeight w:val="321"/>
        </w:trPr>
        <w:tc>
          <w:tcPr>
            <w:tcW w:w="1655"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color w:val="000000"/>
                <w:sz w:val="16"/>
                <w:szCs w:val="16"/>
                <w:lang w:val="hr-HR" w:eastAsia="hr-HR"/>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color w:val="000000"/>
                <w:sz w:val="16"/>
                <w:szCs w:val="16"/>
                <w:lang w:val="hr-HR" w:eastAsia="hr-HR"/>
              </w:rPr>
            </w:pPr>
          </w:p>
        </w:tc>
        <w:tc>
          <w:tcPr>
            <w:tcW w:w="222" w:type="dxa"/>
            <w:tcBorders>
              <w:top w:val="nil"/>
              <w:left w:val="single" w:sz="4" w:space="0" w:color="auto"/>
              <w:bottom w:val="nil"/>
              <w:right w:val="nil"/>
            </w:tcBorders>
            <w:shd w:val="clear" w:color="auto" w:fill="auto"/>
            <w:noWrap/>
            <w:vAlign w:val="bottom"/>
          </w:tcPr>
          <w:p w:rsidR="008A476E" w:rsidRPr="001D0C9C" w:rsidRDefault="008A476E" w:rsidP="00354E8D">
            <w:pPr>
              <w:jc w:val="center"/>
              <w:rPr>
                <w:color w:val="000000"/>
                <w:sz w:val="16"/>
                <w:szCs w:val="16"/>
                <w:lang w:val="hr-HR" w:eastAsia="hr-HR"/>
              </w:rPr>
            </w:pPr>
          </w:p>
        </w:tc>
      </w:tr>
      <w:tr w:rsidR="008A476E" w:rsidRPr="001D0C9C" w:rsidTr="00354E8D">
        <w:trPr>
          <w:trHeight w:val="321"/>
        </w:trPr>
        <w:tc>
          <w:tcPr>
            <w:tcW w:w="165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AUSTRIJA</w:t>
            </w:r>
          </w:p>
        </w:tc>
        <w:tc>
          <w:tcPr>
            <w:tcW w:w="7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12,696</w:t>
            </w:r>
          </w:p>
        </w:tc>
        <w:tc>
          <w:tcPr>
            <w:tcW w:w="73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0,733</w:t>
            </w:r>
          </w:p>
        </w:tc>
        <w:tc>
          <w:tcPr>
            <w:tcW w:w="681" w:type="dxa"/>
            <w:vMerge w:val="restart"/>
            <w:tcBorders>
              <w:top w:val="single" w:sz="4" w:space="0" w:color="auto"/>
              <w:left w:val="single" w:sz="4" w:space="0" w:color="auto"/>
              <w:bottom w:val="single" w:sz="4" w:space="0" w:color="auto"/>
              <w:right w:val="single" w:sz="4" w:space="0" w:color="auto"/>
            </w:tcBorders>
            <w:shd w:val="clear" w:color="000000" w:fill="E5E0EC"/>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1,27</w:t>
            </w:r>
          </w:p>
        </w:tc>
        <w:tc>
          <w:tcPr>
            <w:tcW w:w="5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0,136</w:t>
            </w:r>
          </w:p>
        </w:tc>
        <w:tc>
          <w:tcPr>
            <w:tcW w:w="661" w:type="dxa"/>
            <w:vMerge w:val="restart"/>
            <w:tcBorders>
              <w:top w:val="single" w:sz="4" w:space="0" w:color="auto"/>
              <w:left w:val="single" w:sz="4" w:space="0" w:color="auto"/>
              <w:bottom w:val="single" w:sz="4" w:space="0" w:color="auto"/>
              <w:right w:val="single" w:sz="4" w:space="0" w:color="auto"/>
            </w:tcBorders>
            <w:shd w:val="clear" w:color="000000" w:fill="E5E0EC"/>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1,27</w:t>
            </w:r>
          </w:p>
        </w:tc>
        <w:tc>
          <w:tcPr>
            <w:tcW w:w="68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0,122</w:t>
            </w:r>
          </w:p>
        </w:tc>
        <w:tc>
          <w:tcPr>
            <w:tcW w:w="661" w:type="dxa"/>
            <w:vMerge w:val="restart"/>
            <w:tcBorders>
              <w:top w:val="single" w:sz="4" w:space="0" w:color="auto"/>
              <w:left w:val="single" w:sz="4" w:space="0" w:color="auto"/>
              <w:bottom w:val="single" w:sz="4" w:space="0" w:color="auto"/>
              <w:right w:val="single" w:sz="4" w:space="0" w:color="auto"/>
            </w:tcBorders>
            <w:shd w:val="clear" w:color="000000" w:fill="E5E0EC"/>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1,27</w:t>
            </w:r>
          </w:p>
        </w:tc>
        <w:tc>
          <w:tcPr>
            <w:tcW w:w="68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0,108</w:t>
            </w:r>
          </w:p>
        </w:tc>
        <w:tc>
          <w:tcPr>
            <w:tcW w:w="701" w:type="dxa"/>
            <w:vMerge w:val="restart"/>
            <w:tcBorders>
              <w:top w:val="single" w:sz="4" w:space="0" w:color="auto"/>
              <w:left w:val="single" w:sz="4" w:space="0" w:color="auto"/>
              <w:bottom w:val="single" w:sz="4" w:space="0" w:color="auto"/>
              <w:right w:val="single" w:sz="4" w:space="0" w:color="auto"/>
            </w:tcBorders>
            <w:shd w:val="clear" w:color="000000" w:fill="E5E0EC"/>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1,27</w:t>
            </w:r>
          </w:p>
        </w:tc>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0,094</w:t>
            </w:r>
          </w:p>
        </w:tc>
        <w:tc>
          <w:tcPr>
            <w:tcW w:w="138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Bolnica</w:t>
            </w:r>
          </w:p>
        </w:tc>
        <w:tc>
          <w:tcPr>
            <w:tcW w:w="222" w:type="dxa"/>
            <w:tcBorders>
              <w:left w:val="single" w:sz="4" w:space="0" w:color="auto"/>
            </w:tcBorders>
            <w:vAlign w:val="center"/>
          </w:tcPr>
          <w:p w:rsidR="008A476E" w:rsidRPr="001D0C9C" w:rsidRDefault="008A476E" w:rsidP="00354E8D">
            <w:pPr>
              <w:rPr>
                <w:sz w:val="20"/>
                <w:lang w:val="hr-HR" w:eastAsia="hr-HR"/>
              </w:rPr>
            </w:pPr>
          </w:p>
        </w:tc>
      </w:tr>
      <w:tr w:rsidR="008A476E" w:rsidRPr="001D0C9C" w:rsidTr="00354E8D">
        <w:trPr>
          <w:trHeight w:val="321"/>
        </w:trPr>
        <w:tc>
          <w:tcPr>
            <w:tcW w:w="1655"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color w:val="000000"/>
                <w:sz w:val="16"/>
                <w:szCs w:val="16"/>
                <w:lang w:val="hr-HR" w:eastAsia="hr-HR"/>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sz w:val="16"/>
                <w:szCs w:val="16"/>
                <w:lang w:val="hr-HR" w:eastAsia="hr-HR"/>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color w:val="000000"/>
                <w:sz w:val="16"/>
                <w:szCs w:val="16"/>
                <w:lang w:val="hr-HR" w:eastAsia="hr-HR"/>
              </w:rPr>
            </w:pPr>
          </w:p>
        </w:tc>
        <w:tc>
          <w:tcPr>
            <w:tcW w:w="222" w:type="dxa"/>
            <w:tcBorders>
              <w:top w:val="nil"/>
              <w:left w:val="single" w:sz="4" w:space="0" w:color="auto"/>
              <w:bottom w:val="nil"/>
              <w:right w:val="nil"/>
            </w:tcBorders>
            <w:shd w:val="clear" w:color="auto" w:fill="auto"/>
            <w:noWrap/>
            <w:vAlign w:val="bottom"/>
          </w:tcPr>
          <w:p w:rsidR="008A476E" w:rsidRPr="001D0C9C" w:rsidRDefault="008A476E" w:rsidP="00354E8D">
            <w:pPr>
              <w:jc w:val="center"/>
              <w:rPr>
                <w:color w:val="000000"/>
                <w:sz w:val="16"/>
                <w:szCs w:val="16"/>
                <w:lang w:val="hr-HR" w:eastAsia="hr-HR"/>
              </w:rPr>
            </w:pPr>
          </w:p>
        </w:tc>
      </w:tr>
      <w:tr w:rsidR="008A476E" w:rsidRPr="001D0C9C" w:rsidTr="00354E8D">
        <w:trPr>
          <w:gridAfter w:val="1"/>
          <w:wAfter w:w="222" w:type="dxa"/>
          <w:trHeight w:val="444"/>
        </w:trPr>
        <w:tc>
          <w:tcPr>
            <w:tcW w:w="16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AUSTRIJA</w:t>
            </w:r>
          </w:p>
        </w:tc>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7,520</w:t>
            </w:r>
          </w:p>
        </w:tc>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0,303</w:t>
            </w:r>
          </w:p>
        </w:tc>
        <w:tc>
          <w:tcPr>
            <w:tcW w:w="6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0,791</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0,072</w:t>
            </w:r>
          </w:p>
        </w:tc>
        <w:tc>
          <w:tcPr>
            <w:tcW w:w="6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0,791</w:t>
            </w:r>
          </w:p>
        </w:tc>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0,063</w:t>
            </w:r>
          </w:p>
        </w:tc>
        <w:tc>
          <w:tcPr>
            <w:tcW w:w="6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0,791</w:t>
            </w:r>
          </w:p>
        </w:tc>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0,054</w:t>
            </w:r>
          </w:p>
        </w:tc>
        <w:tc>
          <w:tcPr>
            <w:tcW w:w="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0,791</w:t>
            </w:r>
          </w:p>
        </w:tc>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0,045</w:t>
            </w:r>
          </w:p>
        </w:tc>
        <w:tc>
          <w:tcPr>
            <w:tcW w:w="13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Univerzitet</w:t>
            </w:r>
          </w:p>
        </w:tc>
      </w:tr>
      <w:tr w:rsidR="008A476E" w:rsidRPr="001D0C9C" w:rsidTr="00354E8D">
        <w:trPr>
          <w:trHeight w:val="489"/>
        </w:trPr>
        <w:tc>
          <w:tcPr>
            <w:tcW w:w="16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rPr>
                <w:color w:val="000000"/>
                <w:sz w:val="20"/>
                <w:lang w:val="hr-HR" w:eastAsia="hr-HR"/>
              </w:rPr>
            </w:pPr>
            <w:r w:rsidRPr="001D0C9C">
              <w:rPr>
                <w:color w:val="000000"/>
                <w:sz w:val="20"/>
                <w:lang w:val="hr-HR" w:eastAsia="hr-HR"/>
              </w:rPr>
              <w:t>Unicreditbank dd</w:t>
            </w:r>
          </w:p>
        </w:tc>
        <w:tc>
          <w:tcPr>
            <w:tcW w:w="7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11,000</w:t>
            </w:r>
          </w:p>
        </w:tc>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1,763</w:t>
            </w:r>
          </w:p>
        </w:tc>
        <w:tc>
          <w:tcPr>
            <w:tcW w:w="681" w:type="dxa"/>
            <w:tcBorders>
              <w:top w:val="single" w:sz="4" w:space="0" w:color="auto"/>
              <w:left w:val="single" w:sz="4" w:space="0" w:color="auto"/>
              <w:bottom w:val="single" w:sz="4" w:space="0" w:color="auto"/>
              <w:right w:val="single" w:sz="4" w:space="0" w:color="auto"/>
            </w:tcBorders>
            <w:shd w:val="clear" w:color="000000" w:fill="E5E0EC"/>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2,063</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0,607</w:t>
            </w:r>
          </w:p>
        </w:tc>
        <w:tc>
          <w:tcPr>
            <w:tcW w:w="661" w:type="dxa"/>
            <w:tcBorders>
              <w:top w:val="single" w:sz="4" w:space="0" w:color="auto"/>
              <w:left w:val="single" w:sz="4" w:space="0" w:color="auto"/>
              <w:bottom w:val="single" w:sz="4" w:space="0" w:color="auto"/>
              <w:right w:val="single" w:sz="4" w:space="0" w:color="auto"/>
            </w:tcBorders>
            <w:shd w:val="clear" w:color="000000" w:fill="E5E0EC"/>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2,063</w:t>
            </w:r>
          </w:p>
        </w:tc>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0,49</w:t>
            </w:r>
          </w:p>
        </w:tc>
        <w:tc>
          <w:tcPr>
            <w:tcW w:w="661" w:type="dxa"/>
            <w:tcBorders>
              <w:top w:val="single" w:sz="4" w:space="0" w:color="auto"/>
              <w:left w:val="single" w:sz="4" w:space="0" w:color="auto"/>
              <w:bottom w:val="single" w:sz="4" w:space="0" w:color="auto"/>
              <w:right w:val="single" w:sz="4" w:space="0" w:color="auto"/>
            </w:tcBorders>
            <w:shd w:val="clear" w:color="000000" w:fill="E5E0EC"/>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2,063</w:t>
            </w:r>
          </w:p>
        </w:tc>
        <w:tc>
          <w:tcPr>
            <w:tcW w:w="6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0,371</w:t>
            </w:r>
          </w:p>
        </w:tc>
        <w:tc>
          <w:tcPr>
            <w:tcW w:w="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2,063</w:t>
            </w:r>
          </w:p>
        </w:tc>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sz w:val="16"/>
                <w:szCs w:val="16"/>
                <w:lang w:val="hr-HR" w:eastAsia="hr-HR"/>
              </w:rPr>
            </w:pPr>
            <w:r w:rsidRPr="001D0C9C">
              <w:rPr>
                <w:sz w:val="16"/>
                <w:szCs w:val="16"/>
                <w:lang w:val="hr-HR" w:eastAsia="hr-HR"/>
              </w:rPr>
              <w:t>0,252</w:t>
            </w:r>
          </w:p>
        </w:tc>
        <w:tc>
          <w:tcPr>
            <w:tcW w:w="13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rPr>
                <w:color w:val="000000"/>
                <w:sz w:val="16"/>
                <w:szCs w:val="16"/>
                <w:lang w:val="hr-HR" w:eastAsia="hr-HR"/>
              </w:rPr>
            </w:pPr>
            <w:r w:rsidRPr="001D0C9C">
              <w:rPr>
                <w:color w:val="000000"/>
                <w:sz w:val="16"/>
                <w:szCs w:val="16"/>
                <w:lang w:val="hr-HR" w:eastAsia="hr-HR"/>
              </w:rPr>
              <w:t>Deficit budžeta</w:t>
            </w:r>
          </w:p>
        </w:tc>
        <w:tc>
          <w:tcPr>
            <w:tcW w:w="222" w:type="dxa"/>
            <w:tcBorders>
              <w:left w:val="single" w:sz="4" w:space="0" w:color="auto"/>
            </w:tcBorders>
            <w:vAlign w:val="center"/>
          </w:tcPr>
          <w:p w:rsidR="008A476E" w:rsidRPr="001D0C9C" w:rsidRDefault="008A476E" w:rsidP="00354E8D">
            <w:pPr>
              <w:rPr>
                <w:sz w:val="20"/>
                <w:lang w:val="hr-HR" w:eastAsia="hr-HR"/>
              </w:rPr>
            </w:pPr>
          </w:p>
        </w:tc>
      </w:tr>
      <w:tr w:rsidR="008A476E" w:rsidRPr="001D0C9C" w:rsidTr="00354E8D">
        <w:trPr>
          <w:trHeight w:val="321"/>
        </w:trPr>
        <w:tc>
          <w:tcPr>
            <w:tcW w:w="165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UKUPNO</w:t>
            </w:r>
          </w:p>
        </w:tc>
        <w:tc>
          <w:tcPr>
            <w:tcW w:w="7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b/>
                <w:bCs/>
                <w:color w:val="000000"/>
                <w:sz w:val="16"/>
                <w:szCs w:val="16"/>
                <w:lang w:val="hr-HR" w:eastAsia="hr-HR"/>
              </w:rPr>
            </w:pPr>
            <w:r w:rsidRPr="001D0C9C">
              <w:rPr>
                <w:b/>
                <w:bCs/>
                <w:color w:val="000000"/>
                <w:sz w:val="16"/>
                <w:szCs w:val="16"/>
                <w:lang w:val="hr-HR" w:eastAsia="hr-HR"/>
              </w:rPr>
              <w:t>41,240</w:t>
            </w:r>
          </w:p>
        </w:tc>
        <w:tc>
          <w:tcPr>
            <w:tcW w:w="73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b/>
                <w:bCs/>
                <w:color w:val="000000"/>
                <w:sz w:val="16"/>
                <w:szCs w:val="16"/>
                <w:lang w:val="hr-HR" w:eastAsia="hr-HR"/>
              </w:rPr>
            </w:pPr>
            <w:r w:rsidRPr="001D0C9C">
              <w:rPr>
                <w:b/>
                <w:bCs/>
                <w:color w:val="000000"/>
                <w:sz w:val="16"/>
                <w:szCs w:val="16"/>
                <w:lang w:val="hr-HR" w:eastAsia="hr-HR"/>
              </w:rPr>
              <w:t>3,159</w:t>
            </w:r>
          </w:p>
        </w:tc>
        <w:tc>
          <w:tcPr>
            <w:tcW w:w="68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b/>
                <w:bCs/>
                <w:color w:val="000000"/>
                <w:sz w:val="16"/>
                <w:szCs w:val="16"/>
                <w:lang w:val="hr-HR" w:eastAsia="hr-HR"/>
              </w:rPr>
            </w:pPr>
            <w:r w:rsidRPr="001D0C9C">
              <w:rPr>
                <w:b/>
                <w:bCs/>
                <w:color w:val="000000"/>
                <w:sz w:val="16"/>
                <w:szCs w:val="16"/>
                <w:lang w:val="hr-HR" w:eastAsia="hr-HR"/>
              </w:rPr>
              <w:t>6,635</w:t>
            </w:r>
          </w:p>
        </w:tc>
        <w:tc>
          <w:tcPr>
            <w:tcW w:w="5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b/>
                <w:bCs/>
                <w:color w:val="000000"/>
                <w:sz w:val="16"/>
                <w:szCs w:val="16"/>
                <w:lang w:val="hr-HR" w:eastAsia="hr-HR"/>
              </w:rPr>
            </w:pPr>
            <w:r w:rsidRPr="001D0C9C">
              <w:rPr>
                <w:b/>
                <w:bCs/>
                <w:color w:val="000000"/>
                <w:sz w:val="16"/>
                <w:szCs w:val="16"/>
                <w:lang w:val="hr-HR" w:eastAsia="hr-HR"/>
              </w:rPr>
              <w:t>0,885</w:t>
            </w:r>
          </w:p>
        </w:tc>
        <w:tc>
          <w:tcPr>
            <w:tcW w:w="66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b/>
                <w:bCs/>
                <w:color w:val="000000"/>
                <w:sz w:val="16"/>
                <w:szCs w:val="16"/>
                <w:lang w:val="hr-HR" w:eastAsia="hr-HR"/>
              </w:rPr>
            </w:pPr>
            <w:r w:rsidRPr="001D0C9C">
              <w:rPr>
                <w:b/>
                <w:bCs/>
                <w:color w:val="000000"/>
                <w:sz w:val="16"/>
                <w:szCs w:val="16"/>
                <w:lang w:val="hr-HR" w:eastAsia="hr-HR"/>
              </w:rPr>
              <w:t>6,635</w:t>
            </w:r>
          </w:p>
        </w:tc>
        <w:tc>
          <w:tcPr>
            <w:tcW w:w="68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b/>
                <w:bCs/>
                <w:color w:val="000000"/>
                <w:sz w:val="16"/>
                <w:szCs w:val="16"/>
                <w:lang w:val="hr-HR" w:eastAsia="hr-HR"/>
              </w:rPr>
            </w:pPr>
            <w:r w:rsidRPr="001D0C9C">
              <w:rPr>
                <w:b/>
                <w:bCs/>
                <w:color w:val="000000"/>
                <w:sz w:val="16"/>
                <w:szCs w:val="16"/>
                <w:lang w:val="hr-HR" w:eastAsia="hr-HR"/>
              </w:rPr>
              <w:t>,733</w:t>
            </w:r>
          </w:p>
        </w:tc>
        <w:tc>
          <w:tcPr>
            <w:tcW w:w="66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b/>
                <w:bCs/>
                <w:color w:val="000000"/>
                <w:sz w:val="16"/>
                <w:szCs w:val="16"/>
                <w:lang w:val="hr-HR" w:eastAsia="hr-HR"/>
              </w:rPr>
            </w:pPr>
            <w:r w:rsidRPr="001D0C9C">
              <w:rPr>
                <w:b/>
                <w:bCs/>
                <w:color w:val="000000"/>
                <w:sz w:val="16"/>
                <w:szCs w:val="16"/>
                <w:lang w:val="hr-HR" w:eastAsia="hr-HR"/>
              </w:rPr>
              <w:t>6,384</w:t>
            </w:r>
          </w:p>
        </w:tc>
        <w:tc>
          <w:tcPr>
            <w:tcW w:w="68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b/>
                <w:bCs/>
                <w:color w:val="000000"/>
                <w:sz w:val="16"/>
                <w:szCs w:val="16"/>
                <w:lang w:val="hr-HR" w:eastAsia="hr-HR"/>
              </w:rPr>
            </w:pPr>
            <w:r w:rsidRPr="001D0C9C">
              <w:rPr>
                <w:b/>
                <w:bCs/>
                <w:color w:val="000000"/>
                <w:sz w:val="16"/>
                <w:szCs w:val="16"/>
                <w:lang w:val="hr-HR" w:eastAsia="hr-HR"/>
              </w:rPr>
              <w:t>0,580</w:t>
            </w:r>
          </w:p>
        </w:tc>
        <w:tc>
          <w:tcPr>
            <w:tcW w:w="7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b/>
                <w:bCs/>
                <w:color w:val="000000"/>
                <w:sz w:val="16"/>
                <w:szCs w:val="16"/>
                <w:lang w:val="hr-HR" w:eastAsia="hr-HR"/>
              </w:rPr>
            </w:pPr>
            <w:r w:rsidRPr="001D0C9C">
              <w:rPr>
                <w:b/>
                <w:bCs/>
                <w:color w:val="000000"/>
                <w:sz w:val="16"/>
                <w:szCs w:val="16"/>
                <w:lang w:val="hr-HR" w:eastAsia="hr-HR"/>
              </w:rPr>
              <w:t>4,461</w:t>
            </w:r>
          </w:p>
        </w:tc>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A476E" w:rsidRPr="001D0C9C" w:rsidRDefault="008A476E" w:rsidP="00354E8D">
            <w:pPr>
              <w:jc w:val="right"/>
              <w:rPr>
                <w:b/>
                <w:bCs/>
                <w:color w:val="000000"/>
                <w:sz w:val="16"/>
                <w:szCs w:val="16"/>
                <w:lang w:val="hr-HR" w:eastAsia="hr-HR"/>
              </w:rPr>
            </w:pPr>
            <w:r w:rsidRPr="001D0C9C">
              <w:rPr>
                <w:b/>
                <w:bCs/>
                <w:color w:val="000000"/>
                <w:sz w:val="16"/>
                <w:szCs w:val="16"/>
                <w:lang w:val="hr-HR" w:eastAsia="hr-HR"/>
              </w:rPr>
              <w:t>0,433</w:t>
            </w:r>
          </w:p>
        </w:tc>
        <w:tc>
          <w:tcPr>
            <w:tcW w:w="1382" w:type="dxa"/>
            <w:vMerge w:val="restart"/>
            <w:tcBorders>
              <w:top w:val="single" w:sz="4" w:space="0" w:color="auto"/>
              <w:left w:val="single" w:sz="4" w:space="0" w:color="auto"/>
              <w:bottom w:val="nil"/>
            </w:tcBorders>
            <w:shd w:val="clear" w:color="000000" w:fill="FFFFFF"/>
            <w:noWrap/>
            <w:vAlign w:val="center"/>
          </w:tcPr>
          <w:p w:rsidR="008A476E" w:rsidRPr="001D0C9C" w:rsidRDefault="008A476E" w:rsidP="00354E8D">
            <w:pPr>
              <w:jc w:val="center"/>
              <w:rPr>
                <w:color w:val="000000"/>
                <w:sz w:val="16"/>
                <w:szCs w:val="16"/>
                <w:lang w:val="hr-HR" w:eastAsia="hr-HR"/>
              </w:rPr>
            </w:pPr>
          </w:p>
        </w:tc>
        <w:tc>
          <w:tcPr>
            <w:tcW w:w="222" w:type="dxa"/>
            <w:tcBorders>
              <w:left w:val="nil"/>
            </w:tcBorders>
            <w:vAlign w:val="center"/>
          </w:tcPr>
          <w:p w:rsidR="008A476E" w:rsidRPr="001D0C9C" w:rsidRDefault="008A476E" w:rsidP="00354E8D">
            <w:pPr>
              <w:rPr>
                <w:sz w:val="20"/>
                <w:lang w:val="hr-HR" w:eastAsia="hr-HR"/>
              </w:rPr>
            </w:pPr>
          </w:p>
        </w:tc>
      </w:tr>
      <w:tr w:rsidR="008A476E" w:rsidRPr="001D0C9C" w:rsidTr="00354E8D">
        <w:trPr>
          <w:trHeight w:val="214"/>
        </w:trPr>
        <w:tc>
          <w:tcPr>
            <w:tcW w:w="1655"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b/>
                <w:bCs/>
                <w:color w:val="000000"/>
                <w:sz w:val="16"/>
                <w:szCs w:val="16"/>
                <w:lang w:val="hr-HR" w:eastAsia="hr-HR"/>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b/>
                <w:bCs/>
                <w:color w:val="000000"/>
                <w:sz w:val="16"/>
                <w:szCs w:val="16"/>
                <w:lang w:val="hr-HR" w:eastAsia="hr-HR"/>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b/>
                <w:bCs/>
                <w:color w:val="000000"/>
                <w:sz w:val="16"/>
                <w:szCs w:val="16"/>
                <w:lang w:val="hr-HR" w:eastAsia="hr-HR"/>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b/>
                <w:bCs/>
                <w:color w:val="000000"/>
                <w:sz w:val="16"/>
                <w:szCs w:val="16"/>
                <w:lang w:val="hr-HR" w:eastAsia="hr-HR"/>
              </w:rPr>
            </w:pPr>
          </w:p>
        </w:tc>
        <w:tc>
          <w:tcPr>
            <w:tcW w:w="584"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b/>
                <w:bCs/>
                <w:color w:val="000000"/>
                <w:sz w:val="16"/>
                <w:szCs w:val="16"/>
                <w:lang w:val="hr-HR" w:eastAsia="hr-HR"/>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b/>
                <w:bCs/>
                <w:color w:val="000000"/>
                <w:sz w:val="16"/>
                <w:szCs w:val="16"/>
                <w:lang w:val="hr-HR" w:eastAsia="hr-HR"/>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b/>
                <w:bCs/>
                <w:color w:val="000000"/>
                <w:sz w:val="16"/>
                <w:szCs w:val="16"/>
                <w:lang w:val="hr-HR" w:eastAsia="hr-HR"/>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b/>
                <w:bCs/>
                <w:color w:val="000000"/>
                <w:sz w:val="16"/>
                <w:szCs w:val="16"/>
                <w:lang w:val="hr-HR" w:eastAsia="hr-HR"/>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b/>
                <w:bCs/>
                <w:color w:val="000000"/>
                <w:sz w:val="16"/>
                <w:szCs w:val="16"/>
                <w:lang w:val="hr-HR" w:eastAsia="hr-HR"/>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b/>
                <w:bCs/>
                <w:color w:val="000000"/>
                <w:sz w:val="16"/>
                <w:szCs w:val="16"/>
                <w:lang w:val="hr-HR" w:eastAsia="hr-HR"/>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8A476E" w:rsidRPr="001D0C9C" w:rsidRDefault="008A476E" w:rsidP="00354E8D">
            <w:pPr>
              <w:rPr>
                <w:b/>
                <w:bCs/>
                <w:color w:val="000000"/>
                <w:sz w:val="16"/>
                <w:szCs w:val="16"/>
                <w:lang w:val="hr-HR" w:eastAsia="hr-HR"/>
              </w:rPr>
            </w:pPr>
          </w:p>
        </w:tc>
        <w:tc>
          <w:tcPr>
            <w:tcW w:w="1382" w:type="dxa"/>
            <w:vMerge/>
            <w:tcBorders>
              <w:top w:val="nil"/>
              <w:left w:val="single" w:sz="4" w:space="0" w:color="auto"/>
              <w:bottom w:val="nil"/>
            </w:tcBorders>
            <w:vAlign w:val="center"/>
          </w:tcPr>
          <w:p w:rsidR="008A476E" w:rsidRPr="001D0C9C" w:rsidRDefault="008A476E" w:rsidP="00354E8D">
            <w:pPr>
              <w:rPr>
                <w:color w:val="000000"/>
                <w:sz w:val="16"/>
                <w:szCs w:val="16"/>
                <w:lang w:val="hr-HR" w:eastAsia="hr-HR"/>
              </w:rPr>
            </w:pPr>
          </w:p>
        </w:tc>
        <w:tc>
          <w:tcPr>
            <w:tcW w:w="222" w:type="dxa"/>
            <w:tcBorders>
              <w:top w:val="nil"/>
              <w:left w:val="nil"/>
              <w:bottom w:val="nil"/>
              <w:right w:val="nil"/>
            </w:tcBorders>
            <w:shd w:val="clear" w:color="auto" w:fill="auto"/>
            <w:noWrap/>
            <w:vAlign w:val="bottom"/>
          </w:tcPr>
          <w:p w:rsidR="008A476E" w:rsidRPr="001D0C9C" w:rsidRDefault="008A476E" w:rsidP="00354E8D">
            <w:pPr>
              <w:jc w:val="center"/>
              <w:rPr>
                <w:color w:val="000000"/>
                <w:sz w:val="16"/>
                <w:szCs w:val="16"/>
                <w:lang w:val="hr-HR" w:eastAsia="hr-HR"/>
              </w:rPr>
            </w:pPr>
          </w:p>
        </w:tc>
      </w:tr>
      <w:tr w:rsidR="008A476E" w:rsidRPr="001D0C9C" w:rsidTr="00354E8D">
        <w:trPr>
          <w:trHeight w:val="474"/>
        </w:trPr>
        <w:tc>
          <w:tcPr>
            <w:tcW w:w="1655"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rsidR="008A476E" w:rsidRPr="001D0C9C" w:rsidRDefault="008A476E" w:rsidP="00354E8D">
            <w:pPr>
              <w:rPr>
                <w:b/>
                <w:bCs/>
                <w:color w:val="000000"/>
                <w:sz w:val="16"/>
                <w:szCs w:val="16"/>
                <w:lang w:val="hr-HR" w:eastAsia="hr-HR"/>
              </w:rPr>
            </w:pPr>
            <w:r w:rsidRPr="001D0C9C">
              <w:rPr>
                <w:b/>
                <w:bCs/>
                <w:color w:val="000000"/>
                <w:sz w:val="16"/>
                <w:szCs w:val="16"/>
                <w:lang w:val="hr-HR" w:eastAsia="hr-HR"/>
              </w:rPr>
              <w:t>Sveukupno</w:t>
            </w:r>
          </w:p>
        </w:tc>
        <w:tc>
          <w:tcPr>
            <w:tcW w:w="1517"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44,399</w:t>
            </w:r>
          </w:p>
        </w:tc>
        <w:tc>
          <w:tcPr>
            <w:tcW w:w="1265" w:type="dxa"/>
            <w:gridSpan w:val="2"/>
            <w:tcBorders>
              <w:top w:val="single" w:sz="4" w:space="0" w:color="auto"/>
              <w:left w:val="nil"/>
              <w:bottom w:val="single" w:sz="4" w:space="0" w:color="auto"/>
              <w:right w:val="single" w:sz="8" w:space="0" w:color="000000"/>
            </w:tcBorders>
            <w:shd w:val="clear" w:color="auto" w:fill="auto"/>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7,520</w:t>
            </w:r>
          </w:p>
        </w:tc>
        <w:tc>
          <w:tcPr>
            <w:tcW w:w="1343" w:type="dxa"/>
            <w:gridSpan w:val="2"/>
            <w:tcBorders>
              <w:top w:val="single" w:sz="4" w:space="0" w:color="auto"/>
              <w:left w:val="nil"/>
              <w:bottom w:val="single" w:sz="4" w:space="0" w:color="auto"/>
              <w:right w:val="single" w:sz="8" w:space="0" w:color="000000"/>
            </w:tcBorders>
            <w:shd w:val="clear" w:color="auto" w:fill="auto"/>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7,368</w:t>
            </w:r>
          </w:p>
        </w:tc>
        <w:tc>
          <w:tcPr>
            <w:tcW w:w="1343" w:type="dxa"/>
            <w:gridSpan w:val="2"/>
            <w:tcBorders>
              <w:top w:val="single" w:sz="4" w:space="0" w:color="auto"/>
              <w:left w:val="nil"/>
              <w:bottom w:val="single" w:sz="4" w:space="0" w:color="auto"/>
              <w:right w:val="single" w:sz="8" w:space="0" w:color="000000"/>
            </w:tcBorders>
            <w:shd w:val="clear" w:color="auto" w:fill="auto"/>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6,964</w:t>
            </w:r>
          </w:p>
        </w:tc>
        <w:tc>
          <w:tcPr>
            <w:tcW w:w="1405" w:type="dxa"/>
            <w:gridSpan w:val="2"/>
            <w:tcBorders>
              <w:top w:val="single" w:sz="4" w:space="0" w:color="auto"/>
              <w:left w:val="nil"/>
              <w:bottom w:val="single" w:sz="4" w:space="0" w:color="auto"/>
              <w:right w:val="single" w:sz="4" w:space="0" w:color="auto"/>
            </w:tcBorders>
            <w:shd w:val="clear" w:color="auto" w:fill="auto"/>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4,894</w:t>
            </w:r>
          </w:p>
        </w:tc>
        <w:tc>
          <w:tcPr>
            <w:tcW w:w="1382" w:type="dxa"/>
            <w:tcBorders>
              <w:top w:val="nil"/>
              <w:left w:val="single" w:sz="4" w:space="0" w:color="auto"/>
              <w:bottom w:val="nil"/>
            </w:tcBorders>
            <w:shd w:val="clear" w:color="000000" w:fill="FFFFFF"/>
            <w:noWrap/>
            <w:vAlign w:val="center"/>
          </w:tcPr>
          <w:p w:rsidR="008A476E" w:rsidRPr="001D0C9C" w:rsidRDefault="008A476E" w:rsidP="00354E8D">
            <w:pPr>
              <w:rPr>
                <w:color w:val="000000"/>
                <w:sz w:val="16"/>
                <w:szCs w:val="16"/>
                <w:lang w:val="hr-HR" w:eastAsia="hr-HR"/>
              </w:rPr>
            </w:pPr>
          </w:p>
        </w:tc>
        <w:tc>
          <w:tcPr>
            <w:tcW w:w="222" w:type="dxa"/>
            <w:tcBorders>
              <w:left w:val="nil"/>
            </w:tcBorders>
            <w:vAlign w:val="center"/>
          </w:tcPr>
          <w:p w:rsidR="008A476E" w:rsidRPr="001D0C9C" w:rsidRDefault="008A476E" w:rsidP="00354E8D">
            <w:pPr>
              <w:rPr>
                <w:sz w:val="20"/>
                <w:lang w:val="hr-HR" w:eastAsia="hr-HR"/>
              </w:rPr>
            </w:pPr>
          </w:p>
        </w:tc>
      </w:tr>
      <w:tr w:rsidR="008A476E" w:rsidRPr="001D0C9C" w:rsidTr="00354E8D">
        <w:trPr>
          <w:trHeight w:val="459"/>
        </w:trPr>
        <w:tc>
          <w:tcPr>
            <w:tcW w:w="1655" w:type="dxa"/>
            <w:tcBorders>
              <w:top w:val="nil"/>
              <w:left w:val="single" w:sz="4" w:space="0" w:color="auto"/>
              <w:bottom w:val="single" w:sz="4" w:space="0" w:color="auto"/>
              <w:right w:val="single" w:sz="8" w:space="0" w:color="auto"/>
            </w:tcBorders>
            <w:shd w:val="clear" w:color="000000" w:fill="FFFFFF"/>
            <w:noWrap/>
            <w:vAlign w:val="center"/>
            <w:hideMark/>
          </w:tcPr>
          <w:p w:rsidR="008A476E" w:rsidRPr="001D0C9C" w:rsidRDefault="008A476E" w:rsidP="00354E8D">
            <w:pPr>
              <w:rPr>
                <w:color w:val="000000"/>
                <w:sz w:val="16"/>
                <w:szCs w:val="16"/>
                <w:lang w:val="hr-HR" w:eastAsia="hr-HR"/>
              </w:rPr>
            </w:pPr>
            <w:r w:rsidRPr="001D0C9C">
              <w:rPr>
                <w:color w:val="000000"/>
                <w:sz w:val="16"/>
                <w:szCs w:val="16"/>
                <w:lang w:val="hr-HR" w:eastAsia="hr-HR"/>
              </w:rPr>
              <w:t>Pozajmice sa podracuna</w:t>
            </w:r>
          </w:p>
        </w:tc>
        <w:tc>
          <w:tcPr>
            <w:tcW w:w="1517" w:type="dxa"/>
            <w:gridSpan w:val="2"/>
            <w:tcBorders>
              <w:top w:val="single" w:sz="4" w:space="0" w:color="auto"/>
              <w:left w:val="nil"/>
              <w:bottom w:val="single" w:sz="4" w:space="0" w:color="auto"/>
              <w:right w:val="single" w:sz="8" w:space="0" w:color="000000"/>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15,040</w:t>
            </w:r>
          </w:p>
        </w:tc>
        <w:tc>
          <w:tcPr>
            <w:tcW w:w="681" w:type="dxa"/>
            <w:tcBorders>
              <w:top w:val="single" w:sz="4" w:space="0" w:color="auto"/>
              <w:left w:val="nil"/>
              <w:bottom w:val="single" w:sz="4" w:space="0" w:color="auto"/>
              <w:right w:val="nil"/>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0,</w:t>
            </w:r>
            <w:r>
              <w:rPr>
                <w:color w:val="000000"/>
                <w:sz w:val="16"/>
                <w:szCs w:val="16"/>
                <w:lang w:val="hr-HR" w:eastAsia="hr-HR"/>
              </w:rPr>
              <w:t>1</w:t>
            </w:r>
          </w:p>
        </w:tc>
        <w:tc>
          <w:tcPr>
            <w:tcW w:w="584" w:type="dxa"/>
            <w:tcBorders>
              <w:top w:val="single" w:sz="4" w:space="0" w:color="auto"/>
              <w:left w:val="nil"/>
              <w:bottom w:val="single" w:sz="4" w:space="0" w:color="auto"/>
              <w:right w:val="single" w:sz="8" w:space="0" w:color="auto"/>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 </w:t>
            </w:r>
          </w:p>
        </w:tc>
        <w:tc>
          <w:tcPr>
            <w:tcW w:w="661" w:type="dxa"/>
            <w:tcBorders>
              <w:top w:val="single" w:sz="4" w:space="0" w:color="auto"/>
              <w:left w:val="nil"/>
              <w:bottom w:val="single" w:sz="4" w:space="0" w:color="auto"/>
              <w:right w:val="nil"/>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0,</w:t>
            </w:r>
            <w:r>
              <w:rPr>
                <w:color w:val="000000"/>
                <w:sz w:val="16"/>
                <w:szCs w:val="16"/>
                <w:lang w:val="hr-HR" w:eastAsia="hr-HR"/>
              </w:rPr>
              <w:t>3</w:t>
            </w:r>
          </w:p>
        </w:tc>
        <w:tc>
          <w:tcPr>
            <w:tcW w:w="682" w:type="dxa"/>
            <w:tcBorders>
              <w:top w:val="single" w:sz="4" w:space="0" w:color="auto"/>
              <w:left w:val="nil"/>
              <w:bottom w:val="single" w:sz="4" w:space="0" w:color="auto"/>
              <w:right w:val="single" w:sz="8" w:space="0" w:color="auto"/>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 </w:t>
            </w:r>
          </w:p>
        </w:tc>
        <w:tc>
          <w:tcPr>
            <w:tcW w:w="661" w:type="dxa"/>
            <w:tcBorders>
              <w:top w:val="single" w:sz="4" w:space="0" w:color="auto"/>
              <w:left w:val="nil"/>
              <w:bottom w:val="single" w:sz="4" w:space="0" w:color="auto"/>
              <w:right w:val="nil"/>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0,8</w:t>
            </w:r>
          </w:p>
        </w:tc>
        <w:tc>
          <w:tcPr>
            <w:tcW w:w="682" w:type="dxa"/>
            <w:tcBorders>
              <w:top w:val="single" w:sz="4" w:space="0" w:color="auto"/>
              <w:left w:val="nil"/>
              <w:bottom w:val="single" w:sz="4" w:space="0" w:color="auto"/>
              <w:right w:val="single" w:sz="8" w:space="0" w:color="auto"/>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 </w:t>
            </w:r>
          </w:p>
        </w:tc>
        <w:tc>
          <w:tcPr>
            <w:tcW w:w="701" w:type="dxa"/>
            <w:tcBorders>
              <w:top w:val="single" w:sz="4" w:space="0" w:color="auto"/>
              <w:left w:val="nil"/>
              <w:bottom w:val="single" w:sz="4" w:space="0" w:color="auto"/>
              <w:right w:val="nil"/>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0,8</w:t>
            </w:r>
          </w:p>
        </w:tc>
        <w:tc>
          <w:tcPr>
            <w:tcW w:w="704" w:type="dxa"/>
            <w:tcBorders>
              <w:top w:val="single" w:sz="4" w:space="0" w:color="auto"/>
              <w:left w:val="nil"/>
              <w:bottom w:val="single" w:sz="4" w:space="0" w:color="auto"/>
              <w:right w:val="nil"/>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 </w:t>
            </w:r>
          </w:p>
        </w:tc>
        <w:tc>
          <w:tcPr>
            <w:tcW w:w="1382" w:type="dxa"/>
            <w:tcBorders>
              <w:top w:val="double" w:sz="6" w:space="0" w:color="auto"/>
              <w:left w:val="double" w:sz="6" w:space="0" w:color="auto"/>
              <w:bottom w:val="single" w:sz="4" w:space="0" w:color="auto"/>
              <w:right w:val="single" w:sz="4" w:space="0" w:color="auto"/>
            </w:tcBorders>
            <w:shd w:val="clear" w:color="000000" w:fill="FFFFFF"/>
            <w:vAlign w:val="center"/>
            <w:hideMark/>
          </w:tcPr>
          <w:p w:rsidR="008A476E" w:rsidRPr="001D0C9C" w:rsidRDefault="008A476E" w:rsidP="00354E8D">
            <w:pPr>
              <w:rPr>
                <w:color w:val="000000"/>
                <w:sz w:val="16"/>
                <w:szCs w:val="16"/>
                <w:lang w:val="hr-HR" w:eastAsia="hr-HR"/>
              </w:rPr>
            </w:pPr>
            <w:r w:rsidRPr="001D0C9C">
              <w:rPr>
                <w:color w:val="000000"/>
                <w:sz w:val="16"/>
                <w:szCs w:val="16"/>
                <w:lang w:val="hr-HR" w:eastAsia="hr-HR"/>
              </w:rPr>
              <w:t>deficit budžeta-povrat pozajmica</w:t>
            </w:r>
          </w:p>
        </w:tc>
        <w:tc>
          <w:tcPr>
            <w:tcW w:w="222" w:type="dxa"/>
            <w:tcBorders>
              <w:left w:val="single" w:sz="4" w:space="0" w:color="auto"/>
            </w:tcBorders>
            <w:vAlign w:val="center"/>
          </w:tcPr>
          <w:p w:rsidR="008A476E" w:rsidRPr="001D0C9C" w:rsidRDefault="008A476E" w:rsidP="00354E8D">
            <w:pPr>
              <w:rPr>
                <w:sz w:val="20"/>
                <w:lang w:val="hr-HR" w:eastAsia="hr-HR"/>
              </w:rPr>
            </w:pPr>
          </w:p>
        </w:tc>
      </w:tr>
      <w:tr w:rsidR="008A476E" w:rsidRPr="001D0C9C" w:rsidTr="00354E8D">
        <w:trPr>
          <w:trHeight w:val="505"/>
        </w:trPr>
        <w:tc>
          <w:tcPr>
            <w:tcW w:w="1655"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8A476E" w:rsidRPr="001D0C9C" w:rsidRDefault="008A476E" w:rsidP="00354E8D">
            <w:pPr>
              <w:rPr>
                <w:b/>
                <w:bCs/>
                <w:color w:val="000000"/>
                <w:sz w:val="20"/>
                <w:lang w:val="hr-HR" w:eastAsia="hr-HR"/>
              </w:rPr>
            </w:pPr>
            <w:r w:rsidRPr="001D0C9C">
              <w:rPr>
                <w:b/>
                <w:bCs/>
                <w:color w:val="000000"/>
                <w:sz w:val="20"/>
                <w:lang w:val="hr-HR" w:eastAsia="hr-HR"/>
              </w:rPr>
              <w:t>ukupno dug</w:t>
            </w:r>
            <w:r>
              <w:rPr>
                <w:b/>
                <w:bCs/>
                <w:color w:val="000000"/>
                <w:sz w:val="20"/>
                <w:lang w:val="hr-HR" w:eastAsia="hr-HR"/>
              </w:rPr>
              <w:t xml:space="preserve"> i pozajmice</w:t>
            </w:r>
          </w:p>
        </w:tc>
        <w:tc>
          <w:tcPr>
            <w:tcW w:w="1517" w:type="dxa"/>
            <w:gridSpan w:val="2"/>
            <w:tcBorders>
              <w:top w:val="single" w:sz="4" w:space="0" w:color="auto"/>
              <w:left w:val="nil"/>
              <w:bottom w:val="single" w:sz="8" w:space="0" w:color="auto"/>
              <w:right w:val="single" w:sz="8" w:space="0" w:color="000000"/>
            </w:tcBorders>
            <w:shd w:val="clear" w:color="000000" w:fill="FFFFFF"/>
            <w:noWrap/>
            <w:vAlign w:val="center"/>
            <w:hideMark/>
          </w:tcPr>
          <w:p w:rsidR="008A476E" w:rsidRPr="001D0C9C" w:rsidRDefault="008A476E" w:rsidP="00354E8D">
            <w:pPr>
              <w:jc w:val="center"/>
              <w:rPr>
                <w:b/>
                <w:bCs/>
                <w:color w:val="000000"/>
                <w:sz w:val="16"/>
                <w:szCs w:val="16"/>
                <w:lang w:val="hr-HR" w:eastAsia="hr-HR"/>
              </w:rPr>
            </w:pPr>
            <w:r w:rsidRPr="001D0C9C">
              <w:rPr>
                <w:b/>
                <w:bCs/>
                <w:color w:val="000000"/>
                <w:sz w:val="16"/>
                <w:szCs w:val="16"/>
                <w:lang w:val="hr-HR" w:eastAsia="hr-HR"/>
              </w:rPr>
              <w:t>59,439</w:t>
            </w:r>
          </w:p>
        </w:tc>
        <w:tc>
          <w:tcPr>
            <w:tcW w:w="5356" w:type="dxa"/>
            <w:gridSpan w:val="8"/>
            <w:tcBorders>
              <w:top w:val="single" w:sz="4" w:space="0" w:color="auto"/>
              <w:left w:val="nil"/>
              <w:bottom w:val="single" w:sz="8" w:space="0" w:color="auto"/>
              <w:right w:val="single" w:sz="8" w:space="0" w:color="000000"/>
            </w:tcBorders>
            <w:shd w:val="clear" w:color="000000" w:fill="FFFFFF"/>
            <w:noWrap/>
            <w:vAlign w:val="center"/>
            <w:hideMark/>
          </w:tcPr>
          <w:p w:rsidR="008A476E" w:rsidRPr="001D0C9C" w:rsidRDefault="008A476E" w:rsidP="00354E8D">
            <w:pPr>
              <w:jc w:val="center"/>
              <w:rPr>
                <w:color w:val="000000"/>
                <w:sz w:val="16"/>
                <w:szCs w:val="16"/>
                <w:lang w:val="hr-HR" w:eastAsia="hr-HR"/>
              </w:rPr>
            </w:pPr>
            <w:r w:rsidRPr="001D0C9C">
              <w:rPr>
                <w:color w:val="000000"/>
                <w:sz w:val="16"/>
                <w:szCs w:val="16"/>
                <w:lang w:val="hr-HR" w:eastAsia="hr-HR"/>
              </w:rPr>
              <w:t> </w:t>
            </w:r>
          </w:p>
        </w:tc>
        <w:tc>
          <w:tcPr>
            <w:tcW w:w="1382" w:type="dxa"/>
            <w:tcBorders>
              <w:top w:val="single" w:sz="4" w:space="0" w:color="auto"/>
              <w:left w:val="nil"/>
              <w:bottom w:val="nil"/>
              <w:right w:val="nil"/>
            </w:tcBorders>
            <w:shd w:val="clear" w:color="000000" w:fill="FFFFFF"/>
            <w:noWrap/>
            <w:vAlign w:val="center"/>
          </w:tcPr>
          <w:p w:rsidR="008A476E" w:rsidRPr="001D0C9C" w:rsidRDefault="008A476E" w:rsidP="00354E8D">
            <w:pPr>
              <w:rPr>
                <w:color w:val="000000"/>
                <w:sz w:val="16"/>
                <w:szCs w:val="16"/>
                <w:lang w:val="hr-HR" w:eastAsia="hr-HR"/>
              </w:rPr>
            </w:pPr>
          </w:p>
        </w:tc>
        <w:tc>
          <w:tcPr>
            <w:tcW w:w="222" w:type="dxa"/>
            <w:vAlign w:val="center"/>
          </w:tcPr>
          <w:p w:rsidR="008A476E" w:rsidRPr="001D0C9C" w:rsidRDefault="008A476E" w:rsidP="00354E8D">
            <w:pPr>
              <w:rPr>
                <w:sz w:val="20"/>
                <w:lang w:val="hr-HR" w:eastAsia="hr-HR"/>
              </w:rPr>
            </w:pPr>
          </w:p>
        </w:tc>
      </w:tr>
    </w:tbl>
    <w:p w:rsidR="008A476E" w:rsidRPr="00DE4D63" w:rsidRDefault="008A476E" w:rsidP="008A476E">
      <w:pPr>
        <w:jc w:val="both"/>
        <w:rPr>
          <w:color w:val="000000"/>
          <w:szCs w:val="24"/>
          <w:lang w:val="hr-HR" w:eastAsia="hr-HR"/>
        </w:rPr>
      </w:pPr>
      <w:r w:rsidRPr="00DE4D63">
        <w:rPr>
          <w:color w:val="000000"/>
          <w:szCs w:val="24"/>
          <w:lang w:val="hr-HR" w:eastAsia="hr-HR"/>
        </w:rPr>
        <w:t>Kurs na dan 31.03.20</w:t>
      </w:r>
      <w:r>
        <w:rPr>
          <w:color w:val="000000"/>
          <w:szCs w:val="24"/>
          <w:lang w:val="hr-HR" w:eastAsia="hr-HR"/>
        </w:rPr>
        <w:t>20</w:t>
      </w:r>
      <w:r w:rsidRPr="00DE4D63">
        <w:rPr>
          <w:color w:val="000000"/>
          <w:szCs w:val="24"/>
          <w:lang w:val="hr-HR" w:eastAsia="hr-HR"/>
        </w:rPr>
        <w:t>. 1 US$= 1.7</w:t>
      </w:r>
      <w:r>
        <w:rPr>
          <w:color w:val="000000"/>
          <w:szCs w:val="24"/>
          <w:lang w:val="hr-HR" w:eastAsia="hr-HR"/>
        </w:rPr>
        <w:t>772548</w:t>
      </w:r>
      <w:r w:rsidRPr="00DE4D63">
        <w:rPr>
          <w:color w:val="000000"/>
          <w:szCs w:val="24"/>
          <w:lang w:val="hr-HR" w:eastAsia="hr-HR"/>
        </w:rPr>
        <w:t xml:space="preserve"> KM</w:t>
      </w:r>
    </w:p>
    <w:p w:rsidR="008A476E" w:rsidRPr="00DC06D7" w:rsidRDefault="008A476E" w:rsidP="008A476E">
      <w:pPr>
        <w:tabs>
          <w:tab w:val="left" w:pos="2430"/>
        </w:tabs>
        <w:jc w:val="both"/>
        <w:rPr>
          <w:sz w:val="24"/>
          <w:szCs w:val="24"/>
          <w:lang w:val="hr-HR"/>
        </w:rPr>
      </w:pPr>
      <w:r w:rsidRPr="00DC06D7">
        <w:rPr>
          <w:sz w:val="24"/>
          <w:szCs w:val="24"/>
        </w:rPr>
        <w:t>Unsko</w:t>
      </w:r>
      <w:r w:rsidRPr="00DC06D7">
        <w:rPr>
          <w:sz w:val="24"/>
          <w:szCs w:val="24"/>
          <w:lang w:val="hr-HR"/>
        </w:rPr>
        <w:t xml:space="preserve"> – </w:t>
      </w:r>
      <w:r w:rsidRPr="00DC06D7">
        <w:rPr>
          <w:sz w:val="24"/>
          <w:szCs w:val="24"/>
        </w:rPr>
        <w:t>sanski</w:t>
      </w:r>
      <w:r w:rsidRPr="00DC06D7">
        <w:rPr>
          <w:sz w:val="24"/>
          <w:szCs w:val="24"/>
          <w:lang w:val="hr-HR"/>
        </w:rPr>
        <w:t xml:space="preserve"> </w:t>
      </w:r>
      <w:r w:rsidRPr="00DC06D7">
        <w:rPr>
          <w:sz w:val="24"/>
          <w:szCs w:val="24"/>
        </w:rPr>
        <w:t>kanton</w:t>
      </w:r>
      <w:r w:rsidRPr="00DC06D7">
        <w:rPr>
          <w:sz w:val="24"/>
          <w:szCs w:val="24"/>
          <w:lang w:val="hr-HR"/>
        </w:rPr>
        <w:t xml:space="preserve"> </w:t>
      </w:r>
      <w:r w:rsidRPr="00DC06D7">
        <w:rPr>
          <w:sz w:val="24"/>
          <w:szCs w:val="24"/>
        </w:rPr>
        <w:t>na</w:t>
      </w:r>
      <w:r w:rsidRPr="00DC06D7">
        <w:rPr>
          <w:sz w:val="24"/>
          <w:szCs w:val="24"/>
          <w:lang w:val="hr-HR"/>
        </w:rPr>
        <w:t xml:space="preserve"> </w:t>
      </w:r>
      <w:r w:rsidRPr="00DC06D7">
        <w:rPr>
          <w:sz w:val="24"/>
          <w:szCs w:val="24"/>
        </w:rPr>
        <w:t>dan 31.0</w:t>
      </w:r>
      <w:r>
        <w:rPr>
          <w:sz w:val="24"/>
          <w:szCs w:val="24"/>
        </w:rPr>
        <w:t>3</w:t>
      </w:r>
      <w:r w:rsidRPr="00DC06D7">
        <w:rPr>
          <w:sz w:val="24"/>
          <w:szCs w:val="24"/>
        </w:rPr>
        <w:t>.20</w:t>
      </w:r>
      <w:r>
        <w:rPr>
          <w:sz w:val="24"/>
          <w:szCs w:val="24"/>
        </w:rPr>
        <w:t>20</w:t>
      </w:r>
      <w:r w:rsidRPr="00DC06D7">
        <w:rPr>
          <w:sz w:val="24"/>
          <w:szCs w:val="24"/>
        </w:rPr>
        <w:t>. godine ima</w:t>
      </w:r>
      <w:r w:rsidRPr="00DC06D7">
        <w:rPr>
          <w:sz w:val="24"/>
          <w:szCs w:val="24"/>
          <w:lang w:val="hr-HR"/>
        </w:rPr>
        <w:t xml:space="preserve"> </w:t>
      </w:r>
      <w:r w:rsidRPr="00DC06D7">
        <w:rPr>
          <w:sz w:val="24"/>
          <w:szCs w:val="24"/>
        </w:rPr>
        <w:t>ukupno</w:t>
      </w:r>
      <w:r w:rsidRPr="00DC06D7">
        <w:rPr>
          <w:sz w:val="24"/>
          <w:szCs w:val="24"/>
          <w:lang w:val="hr-HR"/>
        </w:rPr>
        <w:t xml:space="preserve"> </w:t>
      </w:r>
      <w:r w:rsidRPr="00DC06D7">
        <w:rPr>
          <w:sz w:val="24"/>
          <w:szCs w:val="24"/>
        </w:rPr>
        <w:t>kreditno</w:t>
      </w:r>
      <w:r w:rsidRPr="00DC06D7">
        <w:rPr>
          <w:sz w:val="24"/>
          <w:szCs w:val="24"/>
          <w:lang w:val="hr-HR"/>
        </w:rPr>
        <w:t xml:space="preserve"> </w:t>
      </w:r>
      <w:r w:rsidRPr="00DC06D7">
        <w:rPr>
          <w:sz w:val="24"/>
          <w:szCs w:val="24"/>
        </w:rPr>
        <w:t>zadu</w:t>
      </w:r>
      <w:r w:rsidRPr="00DC06D7">
        <w:rPr>
          <w:sz w:val="24"/>
          <w:szCs w:val="24"/>
          <w:lang w:val="hr-HR"/>
        </w:rPr>
        <w:t>ž</w:t>
      </w:r>
      <w:r w:rsidRPr="00DC06D7">
        <w:rPr>
          <w:sz w:val="24"/>
          <w:szCs w:val="24"/>
        </w:rPr>
        <w:t xml:space="preserve">enje u iznosu </w:t>
      </w:r>
      <w:r>
        <w:rPr>
          <w:sz w:val="24"/>
          <w:szCs w:val="24"/>
        </w:rPr>
        <w:t>44,399</w:t>
      </w:r>
      <w:r w:rsidRPr="00DC06D7">
        <w:rPr>
          <w:sz w:val="24"/>
          <w:szCs w:val="24"/>
        </w:rPr>
        <w:t xml:space="preserve"> mil.KM, i to:</w:t>
      </w:r>
    </w:p>
    <w:p w:rsidR="008A476E" w:rsidRDefault="008A476E" w:rsidP="008A476E">
      <w:pPr>
        <w:tabs>
          <w:tab w:val="left" w:pos="2430"/>
        </w:tabs>
        <w:ind w:left="1440"/>
        <w:jc w:val="both"/>
        <w:rPr>
          <w:b/>
          <w:bCs/>
          <w:color w:val="000000"/>
          <w:sz w:val="16"/>
          <w:szCs w:val="16"/>
          <w:lang w:val="hr-HR" w:eastAsia="hr-HR"/>
        </w:rPr>
      </w:pPr>
      <w:r w:rsidRPr="00DC06D7">
        <w:rPr>
          <w:sz w:val="24"/>
          <w:szCs w:val="24"/>
          <w:lang w:val="hr-HR"/>
        </w:rPr>
        <w:t xml:space="preserve">- glavnica u iznosu -  </w:t>
      </w:r>
      <w:r w:rsidRPr="00B16FAB">
        <w:rPr>
          <w:bCs/>
          <w:color w:val="000000"/>
          <w:sz w:val="24"/>
          <w:szCs w:val="24"/>
          <w:lang w:val="hr-HR" w:eastAsia="hr-HR"/>
        </w:rPr>
        <w:t>4</w:t>
      </w:r>
      <w:r>
        <w:rPr>
          <w:bCs/>
          <w:color w:val="000000"/>
          <w:sz w:val="24"/>
          <w:szCs w:val="24"/>
          <w:lang w:val="hr-HR" w:eastAsia="hr-HR"/>
        </w:rPr>
        <w:t>1</w:t>
      </w:r>
      <w:r w:rsidRPr="00B16FAB">
        <w:rPr>
          <w:bCs/>
          <w:color w:val="000000"/>
          <w:sz w:val="24"/>
          <w:szCs w:val="24"/>
          <w:lang w:val="hr-HR" w:eastAsia="hr-HR"/>
        </w:rPr>
        <w:t>,</w:t>
      </w:r>
      <w:r>
        <w:rPr>
          <w:bCs/>
          <w:color w:val="000000"/>
          <w:sz w:val="24"/>
          <w:szCs w:val="24"/>
          <w:lang w:val="hr-HR" w:eastAsia="hr-HR"/>
        </w:rPr>
        <w:t>240 mil. KM</w:t>
      </w:r>
    </w:p>
    <w:p w:rsidR="008A476E" w:rsidRPr="00DC06D7" w:rsidRDefault="008A476E" w:rsidP="008A476E">
      <w:pPr>
        <w:tabs>
          <w:tab w:val="left" w:pos="2430"/>
        </w:tabs>
        <w:ind w:left="1440"/>
        <w:jc w:val="both"/>
        <w:rPr>
          <w:sz w:val="24"/>
          <w:szCs w:val="24"/>
          <w:lang w:val="hr-HR"/>
        </w:rPr>
      </w:pPr>
      <w:r w:rsidRPr="00DC06D7">
        <w:rPr>
          <w:sz w:val="24"/>
          <w:szCs w:val="24"/>
          <w:lang w:val="hr-HR"/>
        </w:rPr>
        <w:t xml:space="preserve">- kamata u iznosu   -   </w:t>
      </w:r>
      <w:r>
        <w:rPr>
          <w:bCs/>
          <w:color w:val="000000"/>
          <w:sz w:val="24"/>
          <w:szCs w:val="24"/>
          <w:lang w:val="hr-HR" w:eastAsia="hr-HR"/>
        </w:rPr>
        <w:t xml:space="preserve"> 3,159</w:t>
      </w:r>
      <w:r>
        <w:rPr>
          <w:sz w:val="24"/>
          <w:szCs w:val="24"/>
          <w:lang w:val="hr-HR"/>
        </w:rPr>
        <w:t xml:space="preserve"> </w:t>
      </w:r>
      <w:r w:rsidRPr="00DC06D7">
        <w:rPr>
          <w:sz w:val="24"/>
          <w:szCs w:val="24"/>
          <w:lang w:val="hr-HR"/>
        </w:rPr>
        <w:t>mil</w:t>
      </w:r>
      <w:r>
        <w:rPr>
          <w:sz w:val="24"/>
          <w:szCs w:val="24"/>
          <w:lang w:val="hr-HR"/>
        </w:rPr>
        <w:t>.</w:t>
      </w:r>
      <w:r w:rsidRPr="00DC06D7">
        <w:rPr>
          <w:sz w:val="24"/>
          <w:szCs w:val="24"/>
          <w:lang w:val="hr-HR"/>
        </w:rPr>
        <w:t xml:space="preserve"> KM.</w:t>
      </w:r>
    </w:p>
    <w:p w:rsidR="008A476E" w:rsidRDefault="008A476E" w:rsidP="008A476E">
      <w:pPr>
        <w:tabs>
          <w:tab w:val="left" w:pos="2430"/>
        </w:tabs>
        <w:jc w:val="both"/>
        <w:rPr>
          <w:sz w:val="24"/>
          <w:szCs w:val="24"/>
        </w:rPr>
      </w:pPr>
      <w:r w:rsidRPr="00DC06D7">
        <w:rPr>
          <w:sz w:val="24"/>
          <w:szCs w:val="24"/>
          <w:lang w:val="hr-HR"/>
        </w:rPr>
        <w:lastRenderedPageBreak/>
        <w:t>Ako ovom iznosu dodamo pozajmice sa namjenskih podračuna od 15,</w:t>
      </w:r>
      <w:r>
        <w:rPr>
          <w:sz w:val="24"/>
          <w:szCs w:val="24"/>
          <w:lang w:val="hr-HR"/>
        </w:rPr>
        <w:t>04</w:t>
      </w:r>
      <w:r w:rsidRPr="00DC06D7">
        <w:rPr>
          <w:sz w:val="24"/>
          <w:szCs w:val="24"/>
          <w:lang w:val="hr-HR"/>
        </w:rPr>
        <w:t xml:space="preserve"> mil</w:t>
      </w:r>
      <w:r>
        <w:rPr>
          <w:sz w:val="24"/>
          <w:szCs w:val="24"/>
          <w:lang w:val="hr-HR"/>
        </w:rPr>
        <w:t>.</w:t>
      </w:r>
      <w:r w:rsidRPr="00DC06D7">
        <w:rPr>
          <w:sz w:val="24"/>
          <w:szCs w:val="24"/>
          <w:lang w:val="hr-HR"/>
        </w:rPr>
        <w:t xml:space="preserve"> KM ukupne dugoro</w:t>
      </w:r>
      <w:r>
        <w:rPr>
          <w:sz w:val="24"/>
          <w:szCs w:val="24"/>
          <w:lang w:val="hr-HR"/>
        </w:rPr>
        <w:t>č</w:t>
      </w:r>
      <w:r w:rsidRPr="00DC06D7">
        <w:rPr>
          <w:sz w:val="24"/>
          <w:szCs w:val="24"/>
          <w:lang w:val="hr-HR"/>
        </w:rPr>
        <w:t xml:space="preserve">ne obaveze kantona iznose </w:t>
      </w:r>
      <w:r>
        <w:rPr>
          <w:sz w:val="24"/>
          <w:szCs w:val="24"/>
          <w:lang w:val="hr-HR"/>
        </w:rPr>
        <w:t>59,439</w:t>
      </w:r>
      <w:r w:rsidRPr="00DC06D7">
        <w:rPr>
          <w:sz w:val="24"/>
          <w:szCs w:val="24"/>
          <w:lang w:val="hr-HR"/>
        </w:rPr>
        <w:t xml:space="preserve"> mil</w:t>
      </w:r>
      <w:r>
        <w:rPr>
          <w:sz w:val="24"/>
          <w:szCs w:val="24"/>
          <w:lang w:val="hr-HR"/>
        </w:rPr>
        <w:t>.</w:t>
      </w:r>
      <w:r w:rsidRPr="00DC06D7">
        <w:rPr>
          <w:sz w:val="24"/>
          <w:szCs w:val="24"/>
          <w:lang w:val="hr-HR"/>
        </w:rPr>
        <w:t>KM</w:t>
      </w:r>
      <w:r>
        <w:rPr>
          <w:sz w:val="24"/>
          <w:szCs w:val="24"/>
          <w:lang w:val="hr-HR"/>
        </w:rPr>
        <w:t>.</w:t>
      </w:r>
    </w:p>
    <w:p w:rsidR="008A476E" w:rsidRDefault="008A476E" w:rsidP="008A476E">
      <w:pPr>
        <w:tabs>
          <w:tab w:val="left" w:pos="2430"/>
        </w:tabs>
        <w:jc w:val="both"/>
        <w:rPr>
          <w:sz w:val="24"/>
          <w:szCs w:val="24"/>
        </w:rPr>
      </w:pPr>
      <w:r w:rsidRPr="00DC06D7">
        <w:rPr>
          <w:sz w:val="24"/>
          <w:szCs w:val="24"/>
        </w:rPr>
        <w:t xml:space="preserve">Na osnovu otplatnih planova napravljen je plan servisiranja dugoročnih obaveza kantona koji na osnovu Zakona o izvršavanju budžeta Unsko-sanskog kantona ima prioritet pri planiranji i izvršavanju budžeta. </w:t>
      </w:r>
    </w:p>
    <w:p w:rsidR="008A476E" w:rsidRPr="00171A8B" w:rsidRDefault="008A476E" w:rsidP="008A476E">
      <w:pPr>
        <w:tabs>
          <w:tab w:val="left" w:pos="2430"/>
        </w:tabs>
        <w:jc w:val="both"/>
        <w:rPr>
          <w:i/>
          <w:sz w:val="24"/>
          <w:szCs w:val="24"/>
          <w:lang w:val="fr-FR"/>
        </w:rPr>
      </w:pPr>
      <w:r w:rsidRPr="00171A8B">
        <w:rPr>
          <w:i/>
          <w:sz w:val="24"/>
          <w:szCs w:val="24"/>
          <w:lang w:val="fr-FR"/>
        </w:rPr>
        <w:t xml:space="preserve">Ukoliko Kanton donese Odluku da za izvršavanje pravosudnih izvršnih presuda se dodatno zaduži i dobije saglasnost Federalnog ministarstva finansija navedeni plan servisiranja obaveza Kantona će se revidirati.          </w:t>
      </w:r>
    </w:p>
    <w:p w:rsidR="008A476E" w:rsidRPr="008A476E" w:rsidRDefault="008A476E" w:rsidP="008A476E">
      <w:pPr>
        <w:spacing w:after="200" w:line="276" w:lineRule="auto"/>
        <w:jc w:val="both"/>
        <w:rPr>
          <w:noProof/>
          <w:sz w:val="24"/>
          <w:szCs w:val="24"/>
          <w:lang w:eastAsia="bs-Latn-BA"/>
        </w:rPr>
      </w:pPr>
      <w:r w:rsidRPr="008A476E">
        <w:rPr>
          <w:noProof/>
          <w:sz w:val="24"/>
          <w:szCs w:val="24"/>
          <w:lang w:eastAsia="bs-Latn-BA"/>
        </w:rPr>
        <w:t>Za upravljanje dugom Federacije, u skladu sa Zakonom o dugu, zaduživanju i garancijama u Federaciji Bosne i Hercegovine</w:t>
      </w:r>
      <w:r w:rsidRPr="008A476E">
        <w:rPr>
          <w:noProof/>
          <w:sz w:val="24"/>
          <w:szCs w:val="24"/>
          <w:vertAlign w:val="superscript"/>
          <w:lang w:eastAsia="bs-Latn-BA"/>
        </w:rPr>
        <w:t xml:space="preserve"> </w:t>
      </w:r>
      <w:r w:rsidRPr="008A476E">
        <w:rPr>
          <w:noProof/>
          <w:sz w:val="24"/>
          <w:szCs w:val="24"/>
          <w:lang w:eastAsia="bs-Latn-BA"/>
        </w:rPr>
        <w:t>nadležno je Federalno ministarstvo finansija, a za upravljanje dugom kantona, gradova i općina ministarstva finansija kantona, odnosno gradske i općinske službe za finansije.</w:t>
      </w:r>
    </w:p>
    <w:p w:rsidR="008A476E" w:rsidRPr="008A476E" w:rsidRDefault="008A476E" w:rsidP="008A476E">
      <w:pPr>
        <w:spacing w:after="200" w:line="276" w:lineRule="auto"/>
        <w:jc w:val="both"/>
        <w:rPr>
          <w:noProof/>
          <w:sz w:val="24"/>
          <w:szCs w:val="24"/>
          <w:lang w:eastAsia="bs-Latn-BA"/>
        </w:rPr>
      </w:pPr>
      <w:r w:rsidRPr="008A476E">
        <w:rPr>
          <w:noProof/>
          <w:sz w:val="24"/>
          <w:szCs w:val="24"/>
          <w:lang w:eastAsia="bs-Latn-BA"/>
        </w:rPr>
        <w:t>Na osnovu izvršene procjene važećeg pravnog okvira za upravljanje dugom izrađen je novi Zakon o dugu, zaduživanju i garancijama u Federaciji BiH (Dom naroda Parlamenta Federacije BiH prihvatio je Nacrt Zakona), kojim se, između ostalog, unapređuju procesi upravljanja rizicima, revidiraju limiti zaduženosti (zavise od  sposobnosti kantona, gradova i općina da servisiraju svoje obaveze i vezuju se za prosječne redovne prihode ostvarene u propisanom periodu) i izloženosti kako na nivou Federacije, tako i na nivou kantona, gradova i općina (izloženost Federacije prema kantonu, gradu i općini, prema jednom sektoru, pravnom licu ili grupi povezanih pravnih lica; granice izloženosti kantona, grada i općine prema jednom pravnom licu)  i utvrđuju nove gornje granice javnog duga i garancija, te jača kontrola nad zaduživanjem.</w:t>
      </w:r>
    </w:p>
    <w:p w:rsidR="008A476E" w:rsidRPr="008A476E" w:rsidRDefault="008A476E" w:rsidP="008A476E">
      <w:pPr>
        <w:spacing w:after="200" w:line="276" w:lineRule="auto"/>
        <w:jc w:val="both"/>
        <w:rPr>
          <w:noProof/>
          <w:sz w:val="24"/>
          <w:szCs w:val="24"/>
          <w:lang w:eastAsia="bs-Latn-BA"/>
        </w:rPr>
      </w:pPr>
      <w:r w:rsidRPr="008A476E">
        <w:rPr>
          <w:noProof/>
          <w:sz w:val="24"/>
          <w:szCs w:val="24"/>
          <w:lang w:eastAsia="bs-Latn-BA"/>
        </w:rPr>
        <w:t>U svrhu održivosti javnog duga,</w:t>
      </w:r>
      <w:r w:rsidRPr="008A476E">
        <w:rPr>
          <w:noProof/>
          <w:color w:val="0070C0"/>
          <w:sz w:val="24"/>
          <w:szCs w:val="24"/>
          <w:lang w:eastAsia="bs-Latn-BA"/>
        </w:rPr>
        <w:t xml:space="preserve"> </w:t>
      </w:r>
      <w:r w:rsidRPr="008A476E">
        <w:rPr>
          <w:noProof/>
          <w:sz w:val="24"/>
          <w:szCs w:val="24"/>
          <w:lang w:eastAsia="bs-Latn-BA"/>
        </w:rPr>
        <w:t xml:space="preserve">nakon adekvatnih izmjena, odnosno donošenja novog Zakona o dugu, zaduživanju i garancijama u Federaciji BiH, donijeti će se i odgovarajući podzakonski akti. Time će se doprinijeti provedbi planirane ekonomske politike i reforme, kako u pogledu uspostavljanja novih fiskalnih pravila za dug, zaduživanje i garancije, tako i u pogledu obuhvata mjerenja javnog duga koji je usklađen sa statističkom metodologijom Evropske unije. </w:t>
      </w:r>
    </w:p>
    <w:p w:rsidR="008A476E" w:rsidRPr="008A476E" w:rsidRDefault="008A476E" w:rsidP="008A476E">
      <w:pPr>
        <w:spacing w:line="276" w:lineRule="auto"/>
        <w:jc w:val="both"/>
        <w:rPr>
          <w:noProof/>
          <w:sz w:val="24"/>
          <w:szCs w:val="24"/>
          <w:lang w:eastAsia="bs-Latn-BA"/>
        </w:rPr>
      </w:pPr>
      <w:r w:rsidRPr="0006729F">
        <w:rPr>
          <w:noProof/>
          <w:sz w:val="24"/>
          <w:szCs w:val="24"/>
        </w:rPr>
        <w:t>Nakon donošenja novog Zakona o dugu,</w:t>
      </w:r>
      <w:r>
        <w:rPr>
          <w:noProof/>
          <w:sz w:val="24"/>
          <w:szCs w:val="24"/>
        </w:rPr>
        <w:t xml:space="preserve"> </w:t>
      </w:r>
      <w:r w:rsidRPr="0006729F">
        <w:rPr>
          <w:noProof/>
          <w:sz w:val="24"/>
          <w:szCs w:val="24"/>
        </w:rPr>
        <w:t>izrada Strategije upravljanja dugom, postat će zakonska obaveza, a Vlada</w:t>
      </w:r>
      <w:r w:rsidRPr="008A476E">
        <w:rPr>
          <w:noProof/>
          <w:sz w:val="24"/>
          <w:szCs w:val="24"/>
          <w:lang w:eastAsia="bs-Latn-BA"/>
        </w:rPr>
        <w:t xml:space="preserve"> Kantona će biti obavezna da usvaja i Godišnji plan zaduživanja, koji se, između ostalog, temelji na Programu javnih investicija Kantona, te da izvještava o dugu. </w:t>
      </w:r>
    </w:p>
    <w:p w:rsidR="008A476E" w:rsidRDefault="008A476E" w:rsidP="008A476E">
      <w:pPr>
        <w:spacing w:after="200" w:line="276" w:lineRule="auto"/>
        <w:jc w:val="both"/>
        <w:rPr>
          <w:sz w:val="24"/>
          <w:szCs w:val="24"/>
        </w:rPr>
      </w:pPr>
      <w:r w:rsidRPr="008A476E">
        <w:rPr>
          <w:noProof/>
          <w:sz w:val="24"/>
          <w:szCs w:val="24"/>
          <w:lang w:eastAsia="bs-Latn-BA"/>
        </w:rPr>
        <w:t xml:space="preserve">Imajući u vidu izmjenu zakonskog okvira u pogledu donošenja novih fiskalnih pravila zaduživanja za sve nivoe vlasti u FBiH, kojim se stvaraju preduslovi za povećanje transparentnosti zaduživanja i izvještavanja o dugu u FBiH, te omogućava upravljanje dugom na adekvatan način, nužno je, uspostavljanjem informacionog sistema za upravljanje dugom (evidentiranje i praćenje duga i garancija, izvještavanje o dugu i sl.), unaprijediti kapacitete i stvoriti tehničke pretpostavke za poboljšanje cjelokupnog procesa. Novi informacioni sistem za upravljanje dugom trebao bi biti usklađen sa obavezama koje će proisteći iz novog Zakona o dugu, zaduživanju i garancijama u Federaciji BiH i podzakonskih propisa donesenih na osnovu Zakona na način da se Zakonom utvrđena ograničenja i obaveze plaćanja prate automatski, da pruža mogućnost ispunjenja svih Zakonom definisanih obaveza vezanih za evidencije o javnim dugovima, garancijama, sredstvima osiguranja, da daje mogućnost sveobuhvatne analize i praćenja dugova u skladu sa svim relevantnim međunarodnim standardima, da je omogućen proces praćenja i izvještavanja u vezi sa limitima zaduženja i izloženosti, kao i povezanih </w:t>
      </w:r>
      <w:r w:rsidRPr="008A476E">
        <w:rPr>
          <w:noProof/>
          <w:sz w:val="24"/>
          <w:szCs w:val="24"/>
          <w:lang w:eastAsia="bs-Latn-BA"/>
        </w:rPr>
        <w:lastRenderedPageBreak/>
        <w:t>kontrola, i to na način da svaki kanton, grad i općina evidentiraju i prate podatke o zaduženju i garancijama kantona, grada, odnosno općine, uključujući i dug javnih preduzeća iz svoje nadležnosti, te da ima mogućnost razmjene podataka o dugu svakog nivoa vlasti i da omogućava standardne izvještaje i daje mogućnost kreiranja pojedinih prilagođenih izvještaja i prikaza podataka u sistemu.Ugovaranje novih zaduživanja također podrazumijeva analizu i pažljivu selekciju, u zavisnosti od potreba za finansiranjem i dostupnih izvora finansiranja, a u svrhu realizacije ciljeva upravljanja dugom.</w:t>
      </w:r>
    </w:p>
    <w:p w:rsidR="00585A35" w:rsidRPr="00585A35" w:rsidRDefault="00585A35" w:rsidP="008A476E">
      <w:pPr>
        <w:jc w:val="both"/>
        <w:rPr>
          <w:noProof/>
          <w:sz w:val="24"/>
          <w:szCs w:val="24"/>
          <w:lang w:eastAsia="bs-Latn-BA"/>
        </w:rPr>
      </w:pPr>
    </w:p>
    <w:p w:rsidR="00585A35" w:rsidRPr="00585A35" w:rsidRDefault="00585A35" w:rsidP="00585A35">
      <w:pPr>
        <w:rPr>
          <w:lang w:val="en-US"/>
        </w:rPr>
      </w:pPr>
    </w:p>
    <w:p w:rsidR="00113E0B" w:rsidRPr="003C3C47" w:rsidRDefault="0034113F" w:rsidP="00887C88">
      <w:pPr>
        <w:pStyle w:val="Heading1"/>
        <w:numPr>
          <w:ilvl w:val="0"/>
          <w:numId w:val="4"/>
        </w:numPr>
        <w:rPr>
          <w:rFonts w:ascii="Times New Roman" w:hAnsi="Times New Roman" w:cs="Times New Roman"/>
          <w:sz w:val="24"/>
          <w:szCs w:val="24"/>
        </w:rPr>
      </w:pPr>
      <w:bookmarkStart w:id="55" w:name="_Toc422899925"/>
      <w:bookmarkStart w:id="56" w:name="_Toc265752054"/>
      <w:bookmarkStart w:id="57" w:name="_Toc265752144"/>
      <w:bookmarkStart w:id="58" w:name="_Toc266777676"/>
      <w:bookmarkStart w:id="59" w:name="_Toc266779171"/>
      <w:r w:rsidRPr="001A53C6">
        <w:rPr>
          <w:rFonts w:ascii="Times New Roman" w:hAnsi="Times New Roman" w:cs="Times New Roman"/>
          <w:color w:val="000000"/>
          <w:sz w:val="24"/>
          <w:szCs w:val="24"/>
        </w:rPr>
        <w:t>SREDNJOROČNA FISKALNA</w:t>
      </w:r>
      <w:r w:rsidRPr="003C3C47">
        <w:rPr>
          <w:rFonts w:ascii="Times New Roman" w:hAnsi="Times New Roman" w:cs="Times New Roman"/>
          <w:sz w:val="24"/>
          <w:szCs w:val="24"/>
        </w:rPr>
        <w:t xml:space="preserve"> STRATEGIJA</w:t>
      </w:r>
      <w:bookmarkEnd w:id="55"/>
    </w:p>
    <w:p w:rsidR="006479D9" w:rsidRPr="003C3C47" w:rsidRDefault="00113E0B" w:rsidP="00887C88">
      <w:pPr>
        <w:pStyle w:val="Heading2"/>
        <w:numPr>
          <w:ilvl w:val="1"/>
          <w:numId w:val="4"/>
        </w:numPr>
        <w:rPr>
          <w:rFonts w:ascii="Times New Roman" w:hAnsi="Times New Roman"/>
          <w:color w:val="auto"/>
          <w:sz w:val="24"/>
          <w:szCs w:val="24"/>
        </w:rPr>
      </w:pPr>
      <w:bookmarkStart w:id="60" w:name="_Toc422899926"/>
      <w:r w:rsidRPr="003C3C47">
        <w:rPr>
          <w:rFonts w:ascii="Times New Roman" w:hAnsi="Times New Roman"/>
          <w:color w:val="auto"/>
          <w:sz w:val="24"/>
          <w:szCs w:val="24"/>
        </w:rPr>
        <w:t xml:space="preserve">Prihodi  </w:t>
      </w:r>
      <w:r w:rsidR="0004661F" w:rsidRPr="003C3C47">
        <w:rPr>
          <w:rFonts w:ascii="Times New Roman" w:hAnsi="Times New Roman"/>
          <w:color w:val="auto"/>
          <w:sz w:val="24"/>
          <w:szCs w:val="24"/>
        </w:rPr>
        <w:t>od indirektnih</w:t>
      </w:r>
      <w:r w:rsidR="00D238AA" w:rsidRPr="003C3C47">
        <w:rPr>
          <w:rFonts w:ascii="Times New Roman" w:hAnsi="Times New Roman"/>
          <w:color w:val="auto"/>
          <w:sz w:val="24"/>
          <w:szCs w:val="24"/>
        </w:rPr>
        <w:t xml:space="preserve"> poreza u periodu </w:t>
      </w:r>
      <w:r w:rsidR="003F0E4E" w:rsidRPr="003C3C47">
        <w:rPr>
          <w:rFonts w:ascii="Times New Roman" w:hAnsi="Times New Roman"/>
          <w:color w:val="auto"/>
          <w:sz w:val="24"/>
          <w:szCs w:val="24"/>
        </w:rPr>
        <w:t>20</w:t>
      </w:r>
      <w:r w:rsidR="00534F9E">
        <w:rPr>
          <w:rFonts w:ascii="Times New Roman" w:hAnsi="Times New Roman"/>
          <w:color w:val="auto"/>
          <w:sz w:val="24"/>
          <w:szCs w:val="24"/>
        </w:rPr>
        <w:t>20</w:t>
      </w:r>
      <w:r w:rsidR="003F0E4E" w:rsidRPr="003C3C47">
        <w:rPr>
          <w:rFonts w:ascii="Times New Roman" w:hAnsi="Times New Roman"/>
          <w:color w:val="auto"/>
          <w:sz w:val="24"/>
          <w:szCs w:val="24"/>
        </w:rPr>
        <w:t xml:space="preserve">. </w:t>
      </w:r>
      <w:r w:rsidR="001441BA">
        <w:rPr>
          <w:rFonts w:ascii="Times New Roman" w:hAnsi="Times New Roman"/>
          <w:color w:val="auto"/>
          <w:sz w:val="24"/>
          <w:szCs w:val="24"/>
        </w:rPr>
        <w:t>-</w:t>
      </w:r>
      <w:r w:rsidR="003F0E4E" w:rsidRPr="003C3C47">
        <w:rPr>
          <w:rFonts w:ascii="Times New Roman" w:hAnsi="Times New Roman"/>
          <w:color w:val="auto"/>
          <w:sz w:val="24"/>
          <w:szCs w:val="24"/>
        </w:rPr>
        <w:t xml:space="preserve"> 20</w:t>
      </w:r>
      <w:r w:rsidR="00227DAD" w:rsidRPr="003C3C47">
        <w:rPr>
          <w:rFonts w:ascii="Times New Roman" w:hAnsi="Times New Roman"/>
          <w:color w:val="auto"/>
          <w:sz w:val="24"/>
          <w:szCs w:val="24"/>
        </w:rPr>
        <w:t>2</w:t>
      </w:r>
      <w:r w:rsidR="00534F9E">
        <w:rPr>
          <w:rFonts w:ascii="Times New Roman" w:hAnsi="Times New Roman"/>
          <w:color w:val="auto"/>
          <w:sz w:val="24"/>
          <w:szCs w:val="24"/>
        </w:rPr>
        <w:t>3</w:t>
      </w:r>
      <w:r w:rsidR="00E914CB" w:rsidRPr="003C3C47">
        <w:rPr>
          <w:rFonts w:ascii="Times New Roman" w:hAnsi="Times New Roman"/>
          <w:color w:val="auto"/>
          <w:sz w:val="24"/>
          <w:szCs w:val="24"/>
        </w:rPr>
        <w:t>.</w:t>
      </w:r>
      <w:bookmarkEnd w:id="56"/>
      <w:bookmarkEnd w:id="57"/>
      <w:bookmarkEnd w:id="58"/>
      <w:bookmarkEnd w:id="59"/>
      <w:bookmarkEnd w:id="60"/>
    </w:p>
    <w:p w:rsidR="00227DAD" w:rsidRPr="003C3C47" w:rsidRDefault="00227DAD" w:rsidP="00227DAD">
      <w:pPr>
        <w:rPr>
          <w:sz w:val="24"/>
          <w:szCs w:val="24"/>
          <w:lang w:val="en-US"/>
        </w:rPr>
      </w:pPr>
    </w:p>
    <w:p w:rsidR="00227DAD" w:rsidRPr="00227DAD" w:rsidRDefault="00227DAD" w:rsidP="00227DAD">
      <w:pPr>
        <w:ind w:firstLine="720"/>
        <w:jc w:val="both"/>
        <w:rPr>
          <w:sz w:val="24"/>
          <w:szCs w:val="24"/>
          <w:lang w:val="sv-SE"/>
        </w:rPr>
      </w:pPr>
      <w:r w:rsidRPr="00227DAD">
        <w:rPr>
          <w:sz w:val="24"/>
          <w:szCs w:val="24"/>
          <w:lang w:val="sv-SE"/>
        </w:rPr>
        <w:t xml:space="preserve">Za izradu projekcija prihoda od indirektnih poreza odgovorno je Odjeljenje za makroekonomsku analizu (OMA) Upravnog odbora Uprave za indirektno oporezivanje. Osnovu izrade projekcija čini procjena makroekonomskih pokazatelja izrađena od strane Direkcije za ekonomsko planiranje BiH (DEP), kao i istorijske šeme naplate pojedinih kategorija prihoda. </w:t>
      </w:r>
    </w:p>
    <w:p w:rsidR="00227DAD" w:rsidRDefault="00227DAD" w:rsidP="00227DAD">
      <w:pPr>
        <w:pStyle w:val="CommentText"/>
        <w:spacing w:line="293" w:lineRule="exact"/>
        <w:ind w:firstLine="720"/>
        <w:rPr>
          <w:sz w:val="24"/>
          <w:szCs w:val="24"/>
        </w:rPr>
      </w:pPr>
      <w:r w:rsidRPr="00227DAD">
        <w:rPr>
          <w:sz w:val="24"/>
          <w:szCs w:val="24"/>
        </w:rPr>
        <w:t>Ovo poglavlj</w:t>
      </w:r>
      <w:r w:rsidR="00A3610A">
        <w:rPr>
          <w:sz w:val="24"/>
          <w:szCs w:val="24"/>
        </w:rPr>
        <w:t>e</w:t>
      </w:r>
      <w:r w:rsidRPr="00227DAD">
        <w:rPr>
          <w:sz w:val="24"/>
          <w:szCs w:val="24"/>
        </w:rPr>
        <w:t xml:space="preserve"> će nam dati projekcije prihoda koje se očekuju za finansiranje javne potrošnje u toku srednjoročnog perioda, a na osnovu projiciranih makroekonomskih pokazatelja i postojećih poreznih politika. U Federaciji Bosne i Hercegovine, javni prihodi po osnovu poreza, taksi, naknada, doprinosa i drugih prihoda ostvaruju se, prikupljaju i raspoređuju prema važećim propisima na teritoriji Federacije Bosne i Hercegovine, a služe za finansiranje funkcija Federacije, kantona, jedinica lokalne samouprave i direkcija cesta.</w:t>
      </w:r>
    </w:p>
    <w:p w:rsidR="00C74A0D" w:rsidRPr="00C74A0D" w:rsidRDefault="00C74A0D" w:rsidP="00C74A0D">
      <w:pPr>
        <w:spacing w:line="276" w:lineRule="auto"/>
        <w:jc w:val="both"/>
        <w:rPr>
          <w:sz w:val="24"/>
          <w:szCs w:val="24"/>
          <w:lang w:val="hr-BA"/>
        </w:rPr>
      </w:pPr>
      <w:r w:rsidRPr="00C74A0D">
        <w:rPr>
          <w:sz w:val="24"/>
          <w:szCs w:val="24"/>
          <w:lang w:val="hr-BA"/>
        </w:rPr>
        <w:t xml:space="preserve">Osnovni dokument kojima je definirana ekonomska politika Vlade Federacije BiH za tekuću godinu je </w:t>
      </w:r>
      <w:r w:rsidRPr="00C74A0D">
        <w:rPr>
          <w:sz w:val="24"/>
          <w:szCs w:val="24"/>
          <w:shd w:val="clear" w:color="auto" w:fill="FFFFFF"/>
          <w:lang w:val="hr-BA"/>
        </w:rPr>
        <w:t>Programom rada Vlade Federacije BiH za 2020. godinu</w:t>
      </w:r>
      <w:r w:rsidRPr="00C74A0D">
        <w:rPr>
          <w:sz w:val="24"/>
          <w:szCs w:val="24"/>
          <w:lang w:val="hr-BA"/>
        </w:rPr>
        <w:t xml:space="preserve">, i Program ekonomskih reformi FBiH za period 2020-2022. </w:t>
      </w:r>
    </w:p>
    <w:p w:rsidR="00C74A0D" w:rsidRDefault="00C74A0D" w:rsidP="00C74A0D">
      <w:pPr>
        <w:spacing w:line="276" w:lineRule="auto"/>
        <w:jc w:val="both"/>
        <w:rPr>
          <w:sz w:val="24"/>
          <w:szCs w:val="24"/>
        </w:rPr>
      </w:pPr>
      <w:r w:rsidRPr="00C74A0D">
        <w:rPr>
          <w:sz w:val="24"/>
          <w:szCs w:val="24"/>
        </w:rPr>
        <w:t>Svi navedeni dokumenti su usvojeni prije pojave pandemije uzrokovane virusom COVID-19. Pojavom pandemije svjetskih razmjera i njenim izrazito negativbnim uticajem na globalnu ekonomiju, u prvi plan stavlja borbu protiv pandemije, donošenje niz programa mjera za suzbijanje negativnih posljedica poduzetih mjera za suzbijanje pandemije.</w:t>
      </w:r>
    </w:p>
    <w:p w:rsidR="00C74A0D" w:rsidRDefault="00C74A0D" w:rsidP="00C74A0D">
      <w:pPr>
        <w:spacing w:line="276" w:lineRule="auto"/>
        <w:jc w:val="both"/>
        <w:rPr>
          <w:sz w:val="24"/>
          <w:szCs w:val="24"/>
        </w:rPr>
      </w:pPr>
      <w:r w:rsidRPr="00C74A0D">
        <w:rPr>
          <w:sz w:val="24"/>
          <w:szCs w:val="24"/>
        </w:rPr>
        <w:t xml:space="preserve">Iste mjere su dovele do smanjenja  poslovanja privrednih subjekata u FederacijI BIH, tj smanjen je obim industrijske proizvodnje, trgovine, usluga, turizma, izvoza, investicije. Porastao je broj nezaposlenih osoba i došlo je do umanjenja plaća u pojedinim granama djelatnosti.    </w:t>
      </w:r>
    </w:p>
    <w:p w:rsidR="00227DAD" w:rsidRPr="00C74A0D" w:rsidRDefault="00227DAD" w:rsidP="00C74A0D">
      <w:pPr>
        <w:spacing w:line="276" w:lineRule="auto"/>
        <w:jc w:val="both"/>
        <w:rPr>
          <w:sz w:val="24"/>
          <w:szCs w:val="24"/>
        </w:rPr>
      </w:pPr>
      <w:r w:rsidRPr="00227DAD">
        <w:rPr>
          <w:sz w:val="24"/>
          <w:szCs w:val="24"/>
        </w:rPr>
        <w:t xml:space="preserve">U skladu sa gore navedenim Vlada Unsko-sanskog kantona je sebi postavila za cilj, te je izradila i usvojila Integriranu strategiju razvoja Unsko-sanskog kantona za perod 2014.-2020. godinu. Provođenjem strategije razvoja USK u periodu od 2014. do 2020. godine ovaj kanton dostići će prosjek razvoja ostalih kantona F BiH. </w:t>
      </w:r>
    </w:p>
    <w:p w:rsidR="00227DAD" w:rsidRPr="00227DAD" w:rsidRDefault="00227DAD" w:rsidP="00C74A0D">
      <w:pPr>
        <w:jc w:val="both"/>
        <w:rPr>
          <w:sz w:val="24"/>
          <w:szCs w:val="24"/>
        </w:rPr>
      </w:pPr>
      <w:r w:rsidRPr="00227DAD">
        <w:rPr>
          <w:color w:val="000000"/>
          <w:sz w:val="24"/>
          <w:szCs w:val="24"/>
        </w:rPr>
        <w:t>Definiranje vizije</w:t>
      </w:r>
      <w:r w:rsidRPr="00227DAD">
        <w:rPr>
          <w:sz w:val="24"/>
          <w:szCs w:val="24"/>
        </w:rPr>
        <w:t xml:space="preserve"> razvoja Unsko-sanskog kantona odražava stratešku namjeru, dubinu i širinu strateške promjene, koje stanovništvo želi u periodu od 2014. do 2020. godine. Vizija je karakteristična baš za tu sredinu – sažima prirodne ljepote i bogatu kulturnu baštinu na pragu Evropske unije, umjerenu klimu, očuvane prirodne resurse (obilje vode i šume), poljoprivredno zemljište pogodno za organski uzgoj voća i povrća, tradicionalne industrije zasnovane na raspoloživim resursima (rudarstvo, drvna, prehrambena industrija) i vrijedne ljude.</w:t>
      </w:r>
    </w:p>
    <w:p w:rsidR="00227DAD" w:rsidRPr="00227DAD" w:rsidRDefault="00227DAD" w:rsidP="00227DAD">
      <w:pPr>
        <w:ind w:firstLine="708"/>
        <w:jc w:val="both"/>
        <w:rPr>
          <w:sz w:val="24"/>
          <w:szCs w:val="24"/>
        </w:rPr>
      </w:pPr>
    </w:p>
    <w:p w:rsidR="00227DAD" w:rsidRDefault="00227DAD" w:rsidP="00227DAD">
      <w:pPr>
        <w:ind w:firstLine="708"/>
        <w:jc w:val="both"/>
        <w:rPr>
          <w:sz w:val="24"/>
          <w:szCs w:val="24"/>
        </w:rPr>
      </w:pPr>
    </w:p>
    <w:p w:rsidR="00C74A0D" w:rsidRPr="00227DAD" w:rsidRDefault="00C74A0D" w:rsidP="00227DAD">
      <w:pPr>
        <w:ind w:firstLine="708"/>
        <w:jc w:val="both"/>
        <w:rPr>
          <w:sz w:val="24"/>
          <w:szCs w:val="24"/>
        </w:rPr>
      </w:pPr>
    </w:p>
    <w:p w:rsidR="00227DAD" w:rsidRPr="00227DAD" w:rsidRDefault="00227DAD" w:rsidP="00227DAD">
      <w:pPr>
        <w:jc w:val="both"/>
        <w:rPr>
          <w:sz w:val="24"/>
          <w:szCs w:val="24"/>
        </w:rPr>
      </w:pPr>
      <w:r w:rsidRPr="00227DAD">
        <w:rPr>
          <w:sz w:val="24"/>
          <w:szCs w:val="24"/>
        </w:rPr>
        <w:t xml:space="preserve">Ova vizija ostvarit će se kroz postizanje 6 ključnih razvojnih ciljeva: </w:t>
      </w:r>
    </w:p>
    <w:p w:rsidR="00227DAD" w:rsidRPr="00227DAD" w:rsidRDefault="00227DAD" w:rsidP="00227DAD">
      <w:pPr>
        <w:jc w:val="both"/>
        <w:rPr>
          <w:sz w:val="24"/>
          <w:szCs w:val="24"/>
        </w:rPr>
      </w:pPr>
    </w:p>
    <w:p w:rsidR="00227DAD" w:rsidRPr="00227DAD" w:rsidRDefault="00227DAD" w:rsidP="00227DAD">
      <w:pPr>
        <w:jc w:val="both"/>
        <w:rPr>
          <w:sz w:val="24"/>
          <w:szCs w:val="24"/>
        </w:rPr>
      </w:pPr>
      <w:r w:rsidRPr="00227DAD">
        <w:rPr>
          <w:sz w:val="24"/>
          <w:szCs w:val="24"/>
        </w:rPr>
        <w:t>1. Razviti konkurentnu privredu i dostići nivo prosjeka ekonomskog razvoja F BiH;</w:t>
      </w:r>
    </w:p>
    <w:p w:rsidR="00227DAD" w:rsidRPr="00227DAD" w:rsidRDefault="00227DAD" w:rsidP="00227DAD">
      <w:pPr>
        <w:jc w:val="both"/>
        <w:rPr>
          <w:sz w:val="24"/>
          <w:szCs w:val="24"/>
        </w:rPr>
      </w:pPr>
      <w:r w:rsidRPr="00227DAD">
        <w:rPr>
          <w:sz w:val="24"/>
          <w:szCs w:val="24"/>
        </w:rPr>
        <w:t>2. Izgraditi infrastrukturu za poboljšanje kvalitete života stanovnika;</w:t>
      </w:r>
    </w:p>
    <w:p w:rsidR="00227DAD" w:rsidRPr="00227DAD" w:rsidRDefault="00227DAD" w:rsidP="00227DAD">
      <w:pPr>
        <w:jc w:val="both"/>
        <w:rPr>
          <w:sz w:val="24"/>
          <w:szCs w:val="24"/>
        </w:rPr>
      </w:pPr>
      <w:r w:rsidRPr="00227DAD">
        <w:rPr>
          <w:sz w:val="24"/>
          <w:szCs w:val="24"/>
        </w:rPr>
        <w:t>3. Unaprijediti zaštitu okoliša i očuvanje prirode;</w:t>
      </w:r>
    </w:p>
    <w:p w:rsidR="00227DAD" w:rsidRPr="00227DAD" w:rsidRDefault="00227DAD" w:rsidP="00227DAD">
      <w:pPr>
        <w:jc w:val="both"/>
        <w:rPr>
          <w:sz w:val="24"/>
          <w:szCs w:val="24"/>
        </w:rPr>
      </w:pPr>
      <w:r w:rsidRPr="00227DAD">
        <w:rPr>
          <w:sz w:val="24"/>
          <w:szCs w:val="24"/>
        </w:rPr>
        <w:t>4. Razvijati ljudske resurse i unaprijediti tržište rada;</w:t>
      </w:r>
    </w:p>
    <w:p w:rsidR="00227DAD" w:rsidRPr="00227DAD" w:rsidRDefault="00227DAD" w:rsidP="00227DAD">
      <w:pPr>
        <w:jc w:val="both"/>
        <w:rPr>
          <w:sz w:val="24"/>
          <w:szCs w:val="24"/>
        </w:rPr>
      </w:pPr>
      <w:r w:rsidRPr="00227DAD">
        <w:rPr>
          <w:sz w:val="24"/>
          <w:szCs w:val="24"/>
        </w:rPr>
        <w:t>5. Osigurati visok nivo socijalne sigurnosti i zaštite;</w:t>
      </w:r>
    </w:p>
    <w:p w:rsidR="00227DAD" w:rsidRPr="00227DAD" w:rsidRDefault="00227DAD" w:rsidP="00227DAD">
      <w:pPr>
        <w:jc w:val="both"/>
        <w:rPr>
          <w:sz w:val="24"/>
          <w:szCs w:val="24"/>
        </w:rPr>
      </w:pPr>
      <w:r w:rsidRPr="00227DAD">
        <w:rPr>
          <w:sz w:val="24"/>
          <w:szCs w:val="24"/>
        </w:rPr>
        <w:t>6. Unaprjeđenje upravljanja razvojem.</w:t>
      </w:r>
    </w:p>
    <w:p w:rsidR="00227DAD" w:rsidRPr="00227DAD" w:rsidRDefault="00227DAD" w:rsidP="00227DAD">
      <w:pPr>
        <w:jc w:val="both"/>
        <w:rPr>
          <w:sz w:val="24"/>
          <w:szCs w:val="24"/>
        </w:rPr>
      </w:pPr>
    </w:p>
    <w:p w:rsidR="00227DAD" w:rsidRDefault="00227DAD" w:rsidP="00227DAD">
      <w:pPr>
        <w:pStyle w:val="CommentText"/>
        <w:ind w:firstLine="720"/>
        <w:rPr>
          <w:sz w:val="24"/>
          <w:szCs w:val="24"/>
        </w:rPr>
      </w:pPr>
      <w:r w:rsidRPr="00227DAD">
        <w:rPr>
          <w:sz w:val="24"/>
          <w:szCs w:val="24"/>
        </w:rPr>
        <w:t xml:space="preserve">Vlada će u ovom periodu funkcionisati sa velikim fiskalnim opterećenjem s obzirom na velike fiskalne pritiske vezane za izmirenje domaćih potraživanja, otplate ino duga i povećanja troškova socijalnih davanja. S toga je neophodno nastaviti sa restriktivnom politikom javne potrošnje na svim nivoima, sa osnovnim ciljem održavanja fiskalne stabilnosti i sistema kontrole potrošnje, ali i pored provođenja ovih mjera neophodno je od međunarodnih fianansijskih institucija (MMF-a, Svjetska banka) obezbijediti nedostajuća sredstva, kako bi se pokrio nedostajući nivo prihoda. </w:t>
      </w:r>
    </w:p>
    <w:p w:rsidR="00C74A0D" w:rsidRPr="00C74A0D" w:rsidRDefault="00C74A0D" w:rsidP="00C74A0D">
      <w:pPr>
        <w:pStyle w:val="CommentText"/>
        <w:jc w:val="both"/>
        <w:rPr>
          <w:sz w:val="24"/>
          <w:szCs w:val="24"/>
        </w:rPr>
      </w:pPr>
      <w:r w:rsidRPr="00C74A0D">
        <w:rPr>
          <w:sz w:val="24"/>
          <w:szCs w:val="24"/>
        </w:rPr>
        <w:t>MMF i Svjetska Banka procjenjuju značajan pad ekonomske aktivnosti u 2020. godini. Pandemija virusa korona imaće ogromne posljedice na ekonomsku aktivnost širom svijeta. U svom posljednjem izvještaju World Economic Outlook od 6. aprila 2020, MMF procjenjuje da će, pod pretpostavkom završetka pandemije do početka drugog polugodišta, globalna ekonomija zabilježiti pad od 3%, što je čak veći pad od onog iz globalne ekonomske krize iz 2008-2009. godine. Za Evropsku uniju MMF je prognozirao pad BDP-a od čak 7,1%. U izvještaju je navedeno da postoji ogromna neizvjesnost po pitanju ostvarenja projekcija, s obzirom na brojne faktore koje je u trenutku njihove izrade teško predvidjeti, a tiču se trajanja pandemije, jačine i efikasnosti preuzetih mjera, stepena prekida u opskrbi, promjena u obrascima potrošnje, uslova na finansijskom tržištu i dr. Kriza uzrokovana pandemijom virusa je dosta drugačija od prethodnih kriza sa kojima su se ekonomije susretale. Kao u slučaju ratova ili političkih kriza postoji ogromna neizvjesnost u pogledu trajanja i intenziteta šoka uzrokovanog pandemijom. Pored toga, ekonomska politika ima dosta drugačiju ulogu u trenutnim uslovima nego u prethodnim krizama. U „normalnim“ krizama se ekonomskim politkama nastoji u što bržem roku stimulisati agregatna tražnja. U sadašnjem slučaju je kriza u mnogome uzrokovana prijeko potrebnim mjerama zaštite. U MMF-ovom dokumentu se ističe da za ostvarenje njihovih projekcija preovladavaju rizici lošijeg ishoda, te su u istom, s obzirom na ogromne nepoznanice u trenutku izrade projekcija u pogledu trajanja pandemije i mogućnosti pojave novog talasa, razradili čak tri dodatna scenarija projekcija.</w:t>
      </w:r>
    </w:p>
    <w:p w:rsidR="00227DAD" w:rsidRPr="00C74A0D" w:rsidRDefault="00227DAD" w:rsidP="00C74A0D">
      <w:pPr>
        <w:pStyle w:val="CommentText"/>
        <w:ind w:firstLine="720"/>
        <w:jc w:val="both"/>
        <w:rPr>
          <w:sz w:val="24"/>
          <w:szCs w:val="24"/>
        </w:rPr>
      </w:pPr>
    </w:p>
    <w:p w:rsidR="00227DAD" w:rsidRPr="00A80872" w:rsidRDefault="00227DAD" w:rsidP="00227DAD">
      <w:pPr>
        <w:pStyle w:val="Heading3"/>
        <w:rPr>
          <w:rFonts w:ascii="Times New Roman" w:hAnsi="Times New Roman"/>
        </w:rPr>
      </w:pPr>
      <w:r w:rsidRPr="004F6C2C">
        <w:rPr>
          <w:rFonts w:ascii="Times New Roman" w:hAnsi="Times New Roman"/>
        </w:rPr>
        <w:t>Projekcije indirektnih prihoda</w:t>
      </w:r>
    </w:p>
    <w:p w:rsidR="00227DAD" w:rsidRDefault="00227DAD" w:rsidP="00227DAD">
      <w:pPr>
        <w:pStyle w:val="CommentText"/>
        <w:ind w:firstLine="720"/>
        <w:rPr>
          <w:sz w:val="24"/>
          <w:szCs w:val="24"/>
        </w:rPr>
      </w:pPr>
      <w:r w:rsidRPr="007A1F34">
        <w:rPr>
          <w:sz w:val="24"/>
          <w:szCs w:val="24"/>
        </w:rPr>
        <w:t xml:space="preserve">Revidirane projekcije prihoda od </w:t>
      </w:r>
      <w:r>
        <w:rPr>
          <w:sz w:val="24"/>
          <w:szCs w:val="24"/>
        </w:rPr>
        <w:t>indirektnih</w:t>
      </w:r>
      <w:r w:rsidRPr="007A1F34">
        <w:rPr>
          <w:sz w:val="24"/>
          <w:szCs w:val="24"/>
        </w:rPr>
        <w:t xml:space="preserve"> poreza za razdoblje od 20</w:t>
      </w:r>
      <w:r w:rsidR="00C74A0D">
        <w:rPr>
          <w:sz w:val="24"/>
          <w:szCs w:val="24"/>
        </w:rPr>
        <w:t>20</w:t>
      </w:r>
      <w:r w:rsidRPr="007A1F34">
        <w:rPr>
          <w:sz w:val="24"/>
          <w:szCs w:val="24"/>
        </w:rPr>
        <w:t>. do 20</w:t>
      </w:r>
      <w:r>
        <w:rPr>
          <w:sz w:val="24"/>
          <w:szCs w:val="24"/>
        </w:rPr>
        <w:t>2</w:t>
      </w:r>
      <w:r w:rsidR="00C74A0D">
        <w:rPr>
          <w:sz w:val="24"/>
          <w:szCs w:val="24"/>
        </w:rPr>
        <w:t>3</w:t>
      </w:r>
      <w:r w:rsidRPr="007A1F34">
        <w:rPr>
          <w:sz w:val="24"/>
          <w:szCs w:val="24"/>
        </w:rPr>
        <w:t>. godine bazirane su na sljedećim postavkama:</w:t>
      </w:r>
    </w:p>
    <w:p w:rsidR="00227DAD" w:rsidRDefault="00227DAD" w:rsidP="00887C88">
      <w:pPr>
        <w:pStyle w:val="CommentText"/>
        <w:numPr>
          <w:ilvl w:val="0"/>
          <w:numId w:val="7"/>
        </w:numPr>
        <w:rPr>
          <w:sz w:val="24"/>
          <w:szCs w:val="24"/>
        </w:rPr>
      </w:pPr>
      <w:r w:rsidRPr="007A1F34">
        <w:rPr>
          <w:sz w:val="24"/>
          <w:szCs w:val="24"/>
        </w:rPr>
        <w:t xml:space="preserve">Prognozama makroekonomskih pokazatelja Direkcije za ekonomsko planiranje (DEP) za pomenuto razdoblje, </w:t>
      </w:r>
      <w:r w:rsidR="00C74A0D">
        <w:rPr>
          <w:sz w:val="24"/>
          <w:szCs w:val="24"/>
        </w:rPr>
        <w:t>april</w:t>
      </w:r>
      <w:r w:rsidRPr="007A1F34">
        <w:rPr>
          <w:sz w:val="24"/>
          <w:szCs w:val="24"/>
        </w:rPr>
        <w:t xml:space="preserve"> 20</w:t>
      </w:r>
      <w:r w:rsidR="00C74A0D">
        <w:rPr>
          <w:sz w:val="24"/>
          <w:szCs w:val="24"/>
        </w:rPr>
        <w:t>20</w:t>
      </w:r>
      <w:r>
        <w:rPr>
          <w:sz w:val="24"/>
          <w:szCs w:val="24"/>
        </w:rPr>
        <w:t xml:space="preserve"> </w:t>
      </w:r>
      <w:r w:rsidRPr="007A1F34">
        <w:rPr>
          <w:sz w:val="24"/>
          <w:szCs w:val="24"/>
        </w:rPr>
        <w:t>;</w:t>
      </w:r>
    </w:p>
    <w:p w:rsidR="00227DAD" w:rsidRDefault="00227DAD" w:rsidP="00887C88">
      <w:pPr>
        <w:pStyle w:val="CommentText"/>
        <w:numPr>
          <w:ilvl w:val="0"/>
          <w:numId w:val="7"/>
        </w:numPr>
        <w:rPr>
          <w:sz w:val="24"/>
          <w:szCs w:val="24"/>
        </w:rPr>
      </w:pPr>
      <w:r w:rsidRPr="0081310C">
        <w:rPr>
          <w:sz w:val="24"/>
          <w:szCs w:val="24"/>
        </w:rPr>
        <w:t xml:space="preserve">Nastavku harmonizacije </w:t>
      </w:r>
      <w:r>
        <w:rPr>
          <w:sz w:val="24"/>
          <w:szCs w:val="24"/>
        </w:rPr>
        <w:t>akciza</w:t>
      </w:r>
      <w:r w:rsidRPr="0081310C">
        <w:rPr>
          <w:sz w:val="24"/>
          <w:szCs w:val="24"/>
        </w:rPr>
        <w:t xml:space="preserve"> na cigarete sa standardima EU i usklađivanju </w:t>
      </w:r>
      <w:r>
        <w:rPr>
          <w:sz w:val="24"/>
          <w:szCs w:val="24"/>
        </w:rPr>
        <w:t>akciza</w:t>
      </w:r>
      <w:r w:rsidRPr="0081310C">
        <w:rPr>
          <w:sz w:val="24"/>
          <w:szCs w:val="24"/>
        </w:rPr>
        <w:t xml:space="preserve"> na rezani duhan sa rastom </w:t>
      </w:r>
      <w:r>
        <w:rPr>
          <w:sz w:val="24"/>
          <w:szCs w:val="24"/>
        </w:rPr>
        <w:t>akciza na cigarete</w:t>
      </w:r>
      <w:r w:rsidRPr="0081310C">
        <w:rPr>
          <w:sz w:val="24"/>
          <w:szCs w:val="24"/>
        </w:rPr>
        <w:t xml:space="preserve"> ;</w:t>
      </w:r>
    </w:p>
    <w:p w:rsidR="00227DAD" w:rsidRDefault="00227DAD" w:rsidP="00887C88">
      <w:pPr>
        <w:pStyle w:val="CommentText"/>
        <w:numPr>
          <w:ilvl w:val="0"/>
          <w:numId w:val="7"/>
        </w:numPr>
        <w:rPr>
          <w:sz w:val="24"/>
          <w:szCs w:val="24"/>
        </w:rPr>
      </w:pPr>
      <w:r w:rsidRPr="0081310C">
        <w:rPr>
          <w:sz w:val="24"/>
          <w:szCs w:val="24"/>
        </w:rPr>
        <w:t>Efektima primjene Sporazuma</w:t>
      </w:r>
      <w:r>
        <w:rPr>
          <w:sz w:val="24"/>
          <w:szCs w:val="24"/>
        </w:rPr>
        <w:t xml:space="preserve"> </w:t>
      </w:r>
      <w:r w:rsidRPr="0081310C">
        <w:rPr>
          <w:sz w:val="24"/>
          <w:szCs w:val="24"/>
        </w:rPr>
        <w:t xml:space="preserve"> o slobo</w:t>
      </w:r>
      <w:r>
        <w:rPr>
          <w:sz w:val="24"/>
          <w:szCs w:val="24"/>
        </w:rPr>
        <w:t>dnoj trgovini između BiH i EFTA</w:t>
      </w:r>
      <w:r w:rsidRPr="0081310C">
        <w:rPr>
          <w:sz w:val="24"/>
          <w:szCs w:val="24"/>
        </w:rPr>
        <w:t xml:space="preserve"> ; </w:t>
      </w:r>
    </w:p>
    <w:p w:rsidR="00227DAD" w:rsidRDefault="00227DAD" w:rsidP="00887C88">
      <w:pPr>
        <w:pStyle w:val="CommentText"/>
        <w:numPr>
          <w:ilvl w:val="0"/>
          <w:numId w:val="7"/>
        </w:numPr>
        <w:rPr>
          <w:sz w:val="24"/>
          <w:szCs w:val="24"/>
        </w:rPr>
      </w:pPr>
      <w:r w:rsidRPr="0081310C">
        <w:rPr>
          <w:sz w:val="24"/>
          <w:szCs w:val="24"/>
        </w:rPr>
        <w:t xml:space="preserve">Tekućim trendovima u naplati prihoda od </w:t>
      </w:r>
      <w:r>
        <w:rPr>
          <w:sz w:val="24"/>
          <w:szCs w:val="24"/>
        </w:rPr>
        <w:t>inderektnih</w:t>
      </w:r>
      <w:r w:rsidRPr="0081310C">
        <w:rPr>
          <w:sz w:val="24"/>
          <w:szCs w:val="24"/>
        </w:rPr>
        <w:t xml:space="preserve"> poreza.</w:t>
      </w:r>
    </w:p>
    <w:p w:rsidR="00227DAD" w:rsidRPr="00227DAD" w:rsidRDefault="00227DAD" w:rsidP="00227DAD">
      <w:pPr>
        <w:ind w:left="1000"/>
        <w:rPr>
          <w:lang w:val="en-US"/>
        </w:rPr>
      </w:pPr>
    </w:p>
    <w:p w:rsidR="0034113F" w:rsidRDefault="0034113F" w:rsidP="00312787">
      <w:pPr>
        <w:ind w:firstLine="720"/>
        <w:jc w:val="both"/>
        <w:rPr>
          <w:sz w:val="24"/>
          <w:szCs w:val="24"/>
          <w:lang w:val="hr-HR"/>
        </w:rPr>
      </w:pPr>
    </w:p>
    <w:p w:rsidR="00A80872" w:rsidRDefault="00A80872" w:rsidP="0034113F">
      <w:pPr>
        <w:jc w:val="both"/>
        <w:rPr>
          <w:b/>
          <w:iCs/>
        </w:rPr>
      </w:pPr>
    </w:p>
    <w:p w:rsidR="0034113F" w:rsidRPr="00CA1914" w:rsidRDefault="0034113F" w:rsidP="0034113F">
      <w:pPr>
        <w:jc w:val="both"/>
        <w:rPr>
          <w:b/>
          <w:iCs/>
        </w:rPr>
      </w:pPr>
      <w:r w:rsidRPr="00CA1914">
        <w:rPr>
          <w:b/>
          <w:iCs/>
        </w:rPr>
        <w:t>Projekcija prihoda na Jedinstvenom računu</w:t>
      </w:r>
      <w:r>
        <w:rPr>
          <w:b/>
          <w:iCs/>
        </w:rPr>
        <w:t xml:space="preserve"> 201</w:t>
      </w:r>
      <w:r w:rsidR="00C55F34">
        <w:rPr>
          <w:b/>
          <w:iCs/>
        </w:rPr>
        <w:t>8</w:t>
      </w:r>
      <w:r w:rsidRPr="00CA1914">
        <w:rPr>
          <w:b/>
          <w:iCs/>
        </w:rPr>
        <w:t>.</w:t>
      </w:r>
      <w:r>
        <w:rPr>
          <w:b/>
          <w:iCs/>
        </w:rPr>
        <w:t xml:space="preserve"> -20</w:t>
      </w:r>
      <w:r w:rsidR="00C55F34">
        <w:rPr>
          <w:b/>
          <w:iCs/>
        </w:rPr>
        <w:t>22</w:t>
      </w:r>
      <w:r w:rsidRPr="00CA1914">
        <w:rPr>
          <w:b/>
          <w:iCs/>
        </w:rPr>
        <w:t>. godina</w:t>
      </w:r>
    </w:p>
    <w:tbl>
      <w:tblPr>
        <w:tblW w:w="9770" w:type="dxa"/>
        <w:jc w:val="center"/>
        <w:tblLook w:val="0000"/>
      </w:tblPr>
      <w:tblGrid>
        <w:gridCol w:w="2229"/>
        <w:gridCol w:w="916"/>
        <w:gridCol w:w="916"/>
        <w:gridCol w:w="916"/>
        <w:gridCol w:w="916"/>
        <w:gridCol w:w="916"/>
        <w:gridCol w:w="762"/>
        <w:gridCol w:w="733"/>
        <w:gridCol w:w="733"/>
        <w:gridCol w:w="733"/>
      </w:tblGrid>
      <w:tr w:rsidR="0034113F" w:rsidRPr="00730E08" w:rsidTr="006570F0">
        <w:trPr>
          <w:trHeight w:val="255"/>
          <w:jc w:val="center"/>
        </w:trPr>
        <w:tc>
          <w:tcPr>
            <w:tcW w:w="2229" w:type="dxa"/>
            <w:vMerge w:val="restart"/>
            <w:tcBorders>
              <w:top w:val="single" w:sz="4" w:space="0" w:color="auto"/>
              <w:left w:val="single" w:sz="4" w:space="0" w:color="auto"/>
              <w:bottom w:val="single" w:sz="4" w:space="0" w:color="000000"/>
              <w:right w:val="single" w:sz="4" w:space="0" w:color="auto"/>
            </w:tcBorders>
            <w:shd w:val="pct10" w:color="auto" w:fill="auto"/>
            <w:noWrap/>
            <w:vAlign w:val="center"/>
          </w:tcPr>
          <w:p w:rsidR="0034113F" w:rsidRPr="006570F0" w:rsidRDefault="0034113F" w:rsidP="005C4009">
            <w:pPr>
              <w:jc w:val="center"/>
              <w:rPr>
                <w:b/>
                <w:sz w:val="20"/>
                <w:lang w:val="pl-PL"/>
              </w:rPr>
            </w:pPr>
            <w:r w:rsidRPr="006570F0">
              <w:rPr>
                <w:b/>
                <w:sz w:val="20"/>
                <w:lang w:val="pl-PL"/>
              </w:rPr>
              <w:t>Vrsta prihoda (neto)</w:t>
            </w:r>
          </w:p>
        </w:tc>
        <w:tc>
          <w:tcPr>
            <w:tcW w:w="4580" w:type="dxa"/>
            <w:gridSpan w:val="5"/>
            <w:tcBorders>
              <w:top w:val="single" w:sz="4" w:space="0" w:color="auto"/>
              <w:left w:val="nil"/>
              <w:bottom w:val="single" w:sz="4" w:space="0" w:color="auto"/>
              <w:right w:val="single" w:sz="4" w:space="0" w:color="auto"/>
            </w:tcBorders>
            <w:shd w:val="pct10" w:color="auto" w:fill="auto"/>
            <w:noWrap/>
            <w:vAlign w:val="center"/>
          </w:tcPr>
          <w:p w:rsidR="0034113F" w:rsidRPr="006570F0" w:rsidRDefault="0034113F" w:rsidP="005C4009">
            <w:pPr>
              <w:jc w:val="center"/>
              <w:rPr>
                <w:b/>
                <w:sz w:val="20"/>
                <w:lang w:val="pl-PL"/>
              </w:rPr>
            </w:pPr>
            <w:r w:rsidRPr="006570F0">
              <w:rPr>
                <w:b/>
                <w:sz w:val="20"/>
                <w:lang w:val="pl-PL"/>
              </w:rPr>
              <w:t>u mil KM</w:t>
            </w:r>
          </w:p>
        </w:tc>
        <w:tc>
          <w:tcPr>
            <w:tcW w:w="2961" w:type="dxa"/>
            <w:gridSpan w:val="4"/>
            <w:tcBorders>
              <w:top w:val="single" w:sz="4" w:space="0" w:color="auto"/>
              <w:left w:val="nil"/>
              <w:bottom w:val="single" w:sz="4" w:space="0" w:color="auto"/>
              <w:right w:val="single" w:sz="4" w:space="0" w:color="auto"/>
            </w:tcBorders>
            <w:shd w:val="pct10" w:color="auto" w:fill="auto"/>
            <w:noWrap/>
            <w:vAlign w:val="center"/>
          </w:tcPr>
          <w:p w:rsidR="0034113F" w:rsidRPr="006570F0" w:rsidRDefault="0034113F" w:rsidP="005C4009">
            <w:pPr>
              <w:jc w:val="center"/>
              <w:rPr>
                <w:b/>
                <w:sz w:val="20"/>
                <w:lang w:val="pl-PL"/>
              </w:rPr>
            </w:pPr>
            <w:r w:rsidRPr="006570F0">
              <w:rPr>
                <w:b/>
                <w:sz w:val="20"/>
                <w:lang w:val="pl-PL"/>
              </w:rPr>
              <w:t>stopa rasta</w:t>
            </w:r>
          </w:p>
        </w:tc>
      </w:tr>
      <w:tr w:rsidR="0034113F" w:rsidRPr="00730E08" w:rsidTr="006570F0">
        <w:trPr>
          <w:trHeight w:val="255"/>
          <w:jc w:val="center"/>
        </w:trPr>
        <w:tc>
          <w:tcPr>
            <w:tcW w:w="2229" w:type="dxa"/>
            <w:vMerge/>
            <w:tcBorders>
              <w:top w:val="single" w:sz="4" w:space="0" w:color="auto"/>
              <w:left w:val="single" w:sz="4" w:space="0" w:color="auto"/>
              <w:bottom w:val="single" w:sz="4" w:space="0" w:color="000000"/>
              <w:right w:val="single" w:sz="4" w:space="0" w:color="auto"/>
            </w:tcBorders>
            <w:shd w:val="pct10" w:color="auto" w:fill="auto"/>
            <w:vAlign w:val="center"/>
          </w:tcPr>
          <w:p w:rsidR="0034113F" w:rsidRPr="006570F0" w:rsidRDefault="0034113F" w:rsidP="005C4009">
            <w:pPr>
              <w:rPr>
                <w:b/>
                <w:sz w:val="20"/>
                <w:lang w:val="pl-PL"/>
              </w:rPr>
            </w:pPr>
          </w:p>
        </w:tc>
        <w:tc>
          <w:tcPr>
            <w:tcW w:w="916" w:type="dxa"/>
            <w:tcBorders>
              <w:top w:val="nil"/>
              <w:left w:val="nil"/>
              <w:bottom w:val="single" w:sz="4" w:space="0" w:color="auto"/>
              <w:right w:val="single" w:sz="4" w:space="0" w:color="auto"/>
            </w:tcBorders>
            <w:shd w:val="pct10" w:color="auto" w:fill="auto"/>
            <w:noWrap/>
            <w:vAlign w:val="center"/>
          </w:tcPr>
          <w:p w:rsidR="0034113F" w:rsidRPr="006570F0" w:rsidRDefault="0034113F" w:rsidP="005C4009">
            <w:pPr>
              <w:jc w:val="center"/>
              <w:rPr>
                <w:b/>
                <w:sz w:val="20"/>
                <w:lang w:val="pl-PL"/>
              </w:rPr>
            </w:pPr>
            <w:r w:rsidRPr="006570F0">
              <w:rPr>
                <w:b/>
                <w:sz w:val="20"/>
                <w:lang w:val="pl-PL"/>
              </w:rPr>
              <w:t>201</w:t>
            </w:r>
            <w:r w:rsidR="0040754D">
              <w:rPr>
                <w:b/>
                <w:sz w:val="20"/>
                <w:lang w:val="pl-PL"/>
              </w:rPr>
              <w:t>8</w:t>
            </w:r>
          </w:p>
        </w:tc>
        <w:tc>
          <w:tcPr>
            <w:tcW w:w="916" w:type="dxa"/>
            <w:tcBorders>
              <w:top w:val="nil"/>
              <w:left w:val="nil"/>
              <w:bottom w:val="single" w:sz="4" w:space="0" w:color="auto"/>
              <w:right w:val="single" w:sz="4" w:space="0" w:color="auto"/>
            </w:tcBorders>
            <w:shd w:val="pct10" w:color="auto" w:fill="auto"/>
            <w:noWrap/>
            <w:vAlign w:val="center"/>
          </w:tcPr>
          <w:p w:rsidR="0034113F" w:rsidRPr="006570F0" w:rsidRDefault="0034113F" w:rsidP="005C4009">
            <w:pPr>
              <w:jc w:val="center"/>
              <w:rPr>
                <w:b/>
                <w:sz w:val="20"/>
                <w:lang w:val="pl-PL"/>
              </w:rPr>
            </w:pPr>
            <w:r w:rsidRPr="006570F0">
              <w:rPr>
                <w:b/>
                <w:sz w:val="20"/>
                <w:lang w:val="pl-PL"/>
              </w:rPr>
              <w:t>201</w:t>
            </w:r>
            <w:r w:rsidR="0040754D">
              <w:rPr>
                <w:b/>
                <w:sz w:val="20"/>
                <w:lang w:val="pl-PL"/>
              </w:rPr>
              <w:t>9</w:t>
            </w:r>
          </w:p>
        </w:tc>
        <w:tc>
          <w:tcPr>
            <w:tcW w:w="916" w:type="dxa"/>
            <w:tcBorders>
              <w:top w:val="nil"/>
              <w:left w:val="nil"/>
              <w:bottom w:val="single" w:sz="4" w:space="0" w:color="auto"/>
              <w:right w:val="single" w:sz="4" w:space="0" w:color="auto"/>
            </w:tcBorders>
            <w:shd w:val="pct10" w:color="auto" w:fill="auto"/>
            <w:noWrap/>
            <w:vAlign w:val="center"/>
          </w:tcPr>
          <w:p w:rsidR="0034113F" w:rsidRPr="006570F0" w:rsidRDefault="0034113F" w:rsidP="005C4009">
            <w:pPr>
              <w:jc w:val="center"/>
              <w:rPr>
                <w:b/>
                <w:sz w:val="20"/>
                <w:lang w:val="pl-PL"/>
              </w:rPr>
            </w:pPr>
            <w:r w:rsidRPr="006570F0">
              <w:rPr>
                <w:b/>
                <w:sz w:val="20"/>
                <w:lang w:val="pl-PL"/>
              </w:rPr>
              <w:t>20</w:t>
            </w:r>
            <w:r w:rsidR="0040754D">
              <w:rPr>
                <w:b/>
                <w:sz w:val="20"/>
                <w:lang w:val="pl-PL"/>
              </w:rPr>
              <w:t>20</w:t>
            </w:r>
          </w:p>
        </w:tc>
        <w:tc>
          <w:tcPr>
            <w:tcW w:w="916" w:type="dxa"/>
            <w:tcBorders>
              <w:top w:val="nil"/>
              <w:left w:val="nil"/>
              <w:bottom w:val="single" w:sz="4" w:space="0" w:color="auto"/>
              <w:right w:val="single" w:sz="4" w:space="0" w:color="auto"/>
            </w:tcBorders>
            <w:shd w:val="pct10" w:color="auto" w:fill="auto"/>
            <w:noWrap/>
            <w:vAlign w:val="center"/>
          </w:tcPr>
          <w:p w:rsidR="0034113F" w:rsidRPr="006570F0" w:rsidRDefault="0034113F" w:rsidP="005C4009">
            <w:pPr>
              <w:jc w:val="center"/>
              <w:rPr>
                <w:b/>
                <w:sz w:val="20"/>
                <w:lang w:val="pl-PL"/>
              </w:rPr>
            </w:pPr>
            <w:r w:rsidRPr="006570F0">
              <w:rPr>
                <w:b/>
                <w:sz w:val="20"/>
                <w:lang w:val="pl-PL"/>
              </w:rPr>
              <w:t>20</w:t>
            </w:r>
            <w:r w:rsidR="0040754D">
              <w:rPr>
                <w:b/>
                <w:sz w:val="20"/>
                <w:lang w:val="pl-PL"/>
              </w:rPr>
              <w:t>21</w:t>
            </w:r>
          </w:p>
        </w:tc>
        <w:tc>
          <w:tcPr>
            <w:tcW w:w="916" w:type="dxa"/>
            <w:tcBorders>
              <w:top w:val="nil"/>
              <w:left w:val="nil"/>
              <w:bottom w:val="single" w:sz="4" w:space="0" w:color="auto"/>
              <w:right w:val="single" w:sz="4" w:space="0" w:color="auto"/>
            </w:tcBorders>
            <w:shd w:val="pct10" w:color="auto" w:fill="auto"/>
            <w:noWrap/>
            <w:vAlign w:val="center"/>
          </w:tcPr>
          <w:p w:rsidR="0034113F" w:rsidRPr="006570F0" w:rsidRDefault="0034113F" w:rsidP="005C4009">
            <w:pPr>
              <w:jc w:val="center"/>
              <w:rPr>
                <w:b/>
                <w:sz w:val="20"/>
                <w:lang w:val="pl-PL"/>
              </w:rPr>
            </w:pPr>
            <w:r w:rsidRPr="006570F0">
              <w:rPr>
                <w:b/>
                <w:sz w:val="20"/>
                <w:lang w:val="pl-PL"/>
              </w:rPr>
              <w:t>20</w:t>
            </w:r>
            <w:r w:rsidR="0040754D">
              <w:rPr>
                <w:b/>
                <w:sz w:val="20"/>
                <w:lang w:val="pl-PL"/>
              </w:rPr>
              <w:t>22</w:t>
            </w:r>
          </w:p>
        </w:tc>
        <w:tc>
          <w:tcPr>
            <w:tcW w:w="762" w:type="dxa"/>
            <w:tcBorders>
              <w:top w:val="nil"/>
              <w:left w:val="nil"/>
              <w:bottom w:val="single" w:sz="4" w:space="0" w:color="auto"/>
              <w:right w:val="single" w:sz="4" w:space="0" w:color="auto"/>
            </w:tcBorders>
            <w:shd w:val="pct10" w:color="auto" w:fill="auto"/>
            <w:noWrap/>
            <w:vAlign w:val="center"/>
          </w:tcPr>
          <w:p w:rsidR="0034113F" w:rsidRPr="006570F0" w:rsidRDefault="0034113F" w:rsidP="005C4009">
            <w:pPr>
              <w:jc w:val="center"/>
              <w:rPr>
                <w:b/>
                <w:sz w:val="20"/>
                <w:lang w:val="pl-PL"/>
              </w:rPr>
            </w:pPr>
            <w:r w:rsidRPr="006570F0">
              <w:rPr>
                <w:b/>
                <w:sz w:val="20"/>
                <w:lang w:val="pl-PL"/>
              </w:rPr>
              <w:t>20</w:t>
            </w:r>
            <w:r w:rsidR="0040754D">
              <w:rPr>
                <w:b/>
                <w:sz w:val="20"/>
                <w:lang w:val="pl-PL"/>
              </w:rPr>
              <w:t>19</w:t>
            </w:r>
          </w:p>
        </w:tc>
        <w:tc>
          <w:tcPr>
            <w:tcW w:w="733" w:type="dxa"/>
            <w:tcBorders>
              <w:top w:val="nil"/>
              <w:left w:val="nil"/>
              <w:bottom w:val="single" w:sz="4" w:space="0" w:color="auto"/>
              <w:right w:val="single" w:sz="4" w:space="0" w:color="auto"/>
            </w:tcBorders>
            <w:shd w:val="pct10" w:color="auto" w:fill="auto"/>
            <w:noWrap/>
            <w:vAlign w:val="center"/>
          </w:tcPr>
          <w:p w:rsidR="0034113F" w:rsidRPr="006570F0" w:rsidRDefault="0034113F" w:rsidP="005C4009">
            <w:pPr>
              <w:jc w:val="center"/>
              <w:rPr>
                <w:b/>
                <w:sz w:val="20"/>
                <w:lang w:val="pl-PL"/>
              </w:rPr>
            </w:pPr>
            <w:r w:rsidRPr="006570F0">
              <w:rPr>
                <w:b/>
                <w:sz w:val="20"/>
                <w:lang w:val="pl-PL"/>
              </w:rPr>
              <w:t>20</w:t>
            </w:r>
            <w:r w:rsidR="0040754D">
              <w:rPr>
                <w:b/>
                <w:sz w:val="20"/>
                <w:lang w:val="pl-PL"/>
              </w:rPr>
              <w:t>20</w:t>
            </w:r>
          </w:p>
        </w:tc>
        <w:tc>
          <w:tcPr>
            <w:tcW w:w="733" w:type="dxa"/>
            <w:tcBorders>
              <w:top w:val="nil"/>
              <w:left w:val="nil"/>
              <w:bottom w:val="single" w:sz="4" w:space="0" w:color="auto"/>
              <w:right w:val="single" w:sz="4" w:space="0" w:color="auto"/>
            </w:tcBorders>
            <w:shd w:val="pct10" w:color="auto" w:fill="auto"/>
            <w:noWrap/>
            <w:vAlign w:val="center"/>
          </w:tcPr>
          <w:p w:rsidR="0034113F" w:rsidRPr="006570F0" w:rsidRDefault="0034113F" w:rsidP="005C4009">
            <w:pPr>
              <w:jc w:val="center"/>
              <w:rPr>
                <w:b/>
                <w:sz w:val="20"/>
                <w:lang w:val="pl-PL"/>
              </w:rPr>
            </w:pPr>
            <w:r w:rsidRPr="006570F0">
              <w:rPr>
                <w:b/>
                <w:sz w:val="20"/>
                <w:lang w:val="pl-PL"/>
              </w:rPr>
              <w:t>20</w:t>
            </w:r>
            <w:r w:rsidR="0040754D">
              <w:rPr>
                <w:b/>
                <w:sz w:val="20"/>
                <w:lang w:val="pl-PL"/>
              </w:rPr>
              <w:t>21</w:t>
            </w:r>
          </w:p>
        </w:tc>
        <w:tc>
          <w:tcPr>
            <w:tcW w:w="733" w:type="dxa"/>
            <w:tcBorders>
              <w:top w:val="nil"/>
              <w:left w:val="nil"/>
              <w:bottom w:val="single" w:sz="4" w:space="0" w:color="auto"/>
              <w:right w:val="single" w:sz="4" w:space="0" w:color="auto"/>
            </w:tcBorders>
            <w:shd w:val="pct10" w:color="auto" w:fill="auto"/>
            <w:noWrap/>
            <w:vAlign w:val="center"/>
          </w:tcPr>
          <w:p w:rsidR="0034113F" w:rsidRPr="006570F0" w:rsidRDefault="0034113F" w:rsidP="005C4009">
            <w:pPr>
              <w:jc w:val="center"/>
              <w:rPr>
                <w:b/>
                <w:sz w:val="20"/>
                <w:lang w:val="pl-PL"/>
              </w:rPr>
            </w:pPr>
            <w:r w:rsidRPr="006570F0">
              <w:rPr>
                <w:b/>
                <w:sz w:val="20"/>
                <w:lang w:val="pl-PL"/>
              </w:rPr>
              <w:t>20</w:t>
            </w:r>
            <w:r w:rsidR="0040754D">
              <w:rPr>
                <w:b/>
                <w:sz w:val="20"/>
                <w:lang w:val="pl-PL"/>
              </w:rPr>
              <w:t>22</w:t>
            </w:r>
          </w:p>
        </w:tc>
      </w:tr>
      <w:tr w:rsidR="0034113F" w:rsidTr="005C4009">
        <w:trPr>
          <w:trHeight w:val="255"/>
          <w:jc w:val="center"/>
        </w:trPr>
        <w:tc>
          <w:tcPr>
            <w:tcW w:w="2229" w:type="dxa"/>
            <w:tcBorders>
              <w:top w:val="nil"/>
              <w:left w:val="single" w:sz="4" w:space="0" w:color="auto"/>
              <w:bottom w:val="single" w:sz="4" w:space="0" w:color="auto"/>
              <w:right w:val="single" w:sz="4" w:space="0" w:color="auto"/>
            </w:tcBorders>
            <w:shd w:val="clear" w:color="auto" w:fill="auto"/>
            <w:noWrap/>
            <w:vAlign w:val="center"/>
          </w:tcPr>
          <w:p w:rsidR="0034113F" w:rsidRPr="00730E08" w:rsidRDefault="0034113F" w:rsidP="005C4009">
            <w:pPr>
              <w:rPr>
                <w:sz w:val="20"/>
                <w:lang w:val="pl-PL"/>
              </w:rPr>
            </w:pPr>
            <w:r w:rsidRPr="00730E08">
              <w:rPr>
                <w:sz w:val="20"/>
                <w:lang w:val="pl-PL"/>
              </w:rPr>
              <w:t>PDV</w:t>
            </w:r>
          </w:p>
        </w:tc>
        <w:tc>
          <w:tcPr>
            <w:tcW w:w="916" w:type="dxa"/>
            <w:tcBorders>
              <w:top w:val="nil"/>
              <w:left w:val="nil"/>
              <w:bottom w:val="single" w:sz="4" w:space="0" w:color="auto"/>
              <w:right w:val="single" w:sz="4" w:space="0" w:color="auto"/>
            </w:tcBorders>
            <w:shd w:val="clear" w:color="auto" w:fill="auto"/>
            <w:noWrap/>
            <w:vAlign w:val="center"/>
          </w:tcPr>
          <w:p w:rsidR="0034113F" w:rsidRPr="00730E08" w:rsidRDefault="0040754D" w:rsidP="005C4009">
            <w:pPr>
              <w:jc w:val="right"/>
              <w:rPr>
                <w:sz w:val="20"/>
                <w:lang w:val="pl-PL"/>
              </w:rPr>
            </w:pPr>
            <w:r>
              <w:rPr>
                <w:sz w:val="20"/>
                <w:lang w:val="pl-PL"/>
              </w:rPr>
              <w:t>3.839,00</w:t>
            </w:r>
          </w:p>
        </w:tc>
        <w:tc>
          <w:tcPr>
            <w:tcW w:w="916" w:type="dxa"/>
            <w:tcBorders>
              <w:top w:val="nil"/>
              <w:left w:val="nil"/>
              <w:bottom w:val="single" w:sz="4" w:space="0" w:color="auto"/>
              <w:right w:val="single" w:sz="4" w:space="0" w:color="auto"/>
            </w:tcBorders>
            <w:shd w:val="clear" w:color="auto" w:fill="auto"/>
            <w:noWrap/>
            <w:vAlign w:val="center"/>
          </w:tcPr>
          <w:p w:rsidR="0034113F" w:rsidRPr="00730E08" w:rsidRDefault="0040754D" w:rsidP="005C4009">
            <w:pPr>
              <w:jc w:val="right"/>
              <w:rPr>
                <w:sz w:val="20"/>
                <w:lang w:val="pl-PL"/>
              </w:rPr>
            </w:pPr>
            <w:r>
              <w:rPr>
                <w:sz w:val="20"/>
                <w:lang w:val="pl-PL"/>
              </w:rPr>
              <w:t>3.979,50</w:t>
            </w:r>
          </w:p>
        </w:tc>
        <w:tc>
          <w:tcPr>
            <w:tcW w:w="916" w:type="dxa"/>
            <w:tcBorders>
              <w:top w:val="nil"/>
              <w:left w:val="nil"/>
              <w:bottom w:val="single" w:sz="4" w:space="0" w:color="auto"/>
              <w:right w:val="single" w:sz="4" w:space="0" w:color="auto"/>
            </w:tcBorders>
            <w:shd w:val="clear" w:color="auto" w:fill="auto"/>
            <w:noWrap/>
            <w:vAlign w:val="center"/>
          </w:tcPr>
          <w:p w:rsidR="0034113F" w:rsidRPr="00730E08" w:rsidRDefault="0006250E" w:rsidP="005C4009">
            <w:pPr>
              <w:jc w:val="right"/>
              <w:rPr>
                <w:sz w:val="20"/>
                <w:lang w:val="pl-PL"/>
              </w:rPr>
            </w:pPr>
            <w:r>
              <w:rPr>
                <w:sz w:val="20"/>
                <w:lang w:val="pl-PL"/>
              </w:rPr>
              <w:t>4.106,30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2C2016" w:rsidP="005C4009">
            <w:pPr>
              <w:jc w:val="right"/>
              <w:rPr>
                <w:sz w:val="20"/>
              </w:rPr>
            </w:pPr>
            <w:r>
              <w:rPr>
                <w:sz w:val="20"/>
              </w:rPr>
              <w:t>4.246,50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2C2016" w:rsidP="005C4009">
            <w:pPr>
              <w:jc w:val="right"/>
              <w:rPr>
                <w:sz w:val="20"/>
              </w:rPr>
            </w:pPr>
            <w:r>
              <w:rPr>
                <w:sz w:val="20"/>
              </w:rPr>
              <w:t>4.405,00</w:t>
            </w:r>
          </w:p>
        </w:tc>
        <w:tc>
          <w:tcPr>
            <w:tcW w:w="762"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3,7</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3,2</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34113F" w:rsidP="005C4009">
            <w:pPr>
              <w:jc w:val="right"/>
              <w:rPr>
                <w:sz w:val="20"/>
              </w:rPr>
            </w:pPr>
            <w:r>
              <w:rPr>
                <w:sz w:val="20"/>
              </w:rPr>
              <w:t>3,</w:t>
            </w:r>
            <w:r w:rsidR="00C737B8">
              <w:rPr>
                <w:sz w:val="20"/>
              </w:rPr>
              <w:t>4</w:t>
            </w:r>
            <w:r>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3,7</w:t>
            </w:r>
            <w:r w:rsidR="0034113F">
              <w:rPr>
                <w:sz w:val="20"/>
              </w:rPr>
              <w:t>%</w:t>
            </w:r>
          </w:p>
        </w:tc>
      </w:tr>
      <w:tr w:rsidR="0034113F" w:rsidTr="005C4009">
        <w:trPr>
          <w:trHeight w:val="255"/>
          <w:jc w:val="center"/>
        </w:trPr>
        <w:tc>
          <w:tcPr>
            <w:tcW w:w="2229" w:type="dxa"/>
            <w:tcBorders>
              <w:top w:val="nil"/>
              <w:left w:val="single" w:sz="4" w:space="0" w:color="auto"/>
              <w:bottom w:val="single" w:sz="4" w:space="0" w:color="auto"/>
              <w:right w:val="single" w:sz="4" w:space="0" w:color="auto"/>
            </w:tcBorders>
            <w:shd w:val="clear" w:color="auto" w:fill="auto"/>
            <w:noWrap/>
            <w:vAlign w:val="center"/>
          </w:tcPr>
          <w:p w:rsidR="0034113F" w:rsidRDefault="0034113F" w:rsidP="005C4009">
            <w:pPr>
              <w:rPr>
                <w:sz w:val="20"/>
              </w:rPr>
            </w:pPr>
            <w:r>
              <w:rPr>
                <w:sz w:val="20"/>
              </w:rPr>
              <w:t>Akcize</w:t>
            </w:r>
          </w:p>
        </w:tc>
        <w:tc>
          <w:tcPr>
            <w:tcW w:w="916" w:type="dxa"/>
            <w:tcBorders>
              <w:top w:val="nil"/>
              <w:left w:val="nil"/>
              <w:bottom w:val="single" w:sz="4" w:space="0" w:color="auto"/>
              <w:right w:val="single" w:sz="4" w:space="0" w:color="auto"/>
            </w:tcBorders>
            <w:shd w:val="clear" w:color="auto" w:fill="auto"/>
            <w:noWrap/>
            <w:vAlign w:val="center"/>
          </w:tcPr>
          <w:p w:rsidR="0034113F" w:rsidRDefault="0040754D" w:rsidP="005C4009">
            <w:pPr>
              <w:jc w:val="right"/>
              <w:rPr>
                <w:sz w:val="20"/>
              </w:rPr>
            </w:pPr>
            <w:r>
              <w:rPr>
                <w:sz w:val="20"/>
              </w:rPr>
              <w:t>1.444,70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40754D" w:rsidP="005C4009">
            <w:pPr>
              <w:jc w:val="right"/>
              <w:rPr>
                <w:sz w:val="20"/>
              </w:rPr>
            </w:pPr>
            <w:r>
              <w:rPr>
                <w:sz w:val="20"/>
              </w:rPr>
              <w:t>1.480,10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06250E" w:rsidP="005C4009">
            <w:pPr>
              <w:jc w:val="right"/>
              <w:rPr>
                <w:sz w:val="20"/>
              </w:rPr>
            </w:pPr>
            <w:r>
              <w:rPr>
                <w:sz w:val="20"/>
              </w:rPr>
              <w:t>1.495,60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2C2016" w:rsidP="005C4009">
            <w:pPr>
              <w:jc w:val="right"/>
              <w:rPr>
                <w:sz w:val="20"/>
              </w:rPr>
            </w:pPr>
            <w:r>
              <w:rPr>
                <w:sz w:val="20"/>
              </w:rPr>
              <w:t>1.517,10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2C2016" w:rsidP="005C4009">
            <w:pPr>
              <w:jc w:val="right"/>
              <w:rPr>
                <w:sz w:val="20"/>
              </w:rPr>
            </w:pPr>
            <w:r>
              <w:rPr>
                <w:sz w:val="20"/>
              </w:rPr>
              <w:t>1.539,60</w:t>
            </w:r>
          </w:p>
        </w:tc>
        <w:tc>
          <w:tcPr>
            <w:tcW w:w="762"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2,5</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1,0</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1,4</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1,5</w:t>
            </w:r>
            <w:r w:rsidR="0034113F">
              <w:rPr>
                <w:sz w:val="20"/>
              </w:rPr>
              <w:t>%</w:t>
            </w:r>
          </w:p>
        </w:tc>
      </w:tr>
      <w:tr w:rsidR="0034113F" w:rsidTr="005C4009">
        <w:trPr>
          <w:trHeight w:val="255"/>
          <w:jc w:val="center"/>
        </w:trPr>
        <w:tc>
          <w:tcPr>
            <w:tcW w:w="2229" w:type="dxa"/>
            <w:tcBorders>
              <w:top w:val="nil"/>
              <w:left w:val="single" w:sz="4" w:space="0" w:color="auto"/>
              <w:bottom w:val="single" w:sz="4" w:space="0" w:color="auto"/>
              <w:right w:val="single" w:sz="4" w:space="0" w:color="auto"/>
            </w:tcBorders>
            <w:shd w:val="clear" w:color="auto" w:fill="auto"/>
            <w:noWrap/>
            <w:vAlign w:val="center"/>
          </w:tcPr>
          <w:p w:rsidR="0034113F" w:rsidRDefault="0034113F" w:rsidP="005C4009">
            <w:pPr>
              <w:rPr>
                <w:sz w:val="20"/>
              </w:rPr>
            </w:pPr>
            <w:r>
              <w:rPr>
                <w:sz w:val="20"/>
              </w:rPr>
              <w:t>Carine</w:t>
            </w:r>
          </w:p>
        </w:tc>
        <w:tc>
          <w:tcPr>
            <w:tcW w:w="916" w:type="dxa"/>
            <w:tcBorders>
              <w:top w:val="nil"/>
              <w:left w:val="nil"/>
              <w:bottom w:val="single" w:sz="4" w:space="0" w:color="auto"/>
              <w:right w:val="single" w:sz="4" w:space="0" w:color="auto"/>
            </w:tcBorders>
            <w:shd w:val="clear" w:color="auto" w:fill="auto"/>
            <w:noWrap/>
            <w:vAlign w:val="center"/>
          </w:tcPr>
          <w:p w:rsidR="0034113F" w:rsidRDefault="0040754D" w:rsidP="005C4009">
            <w:pPr>
              <w:jc w:val="right"/>
              <w:rPr>
                <w:sz w:val="20"/>
              </w:rPr>
            </w:pPr>
            <w:r>
              <w:rPr>
                <w:sz w:val="20"/>
              </w:rPr>
              <w:t>286,60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40754D" w:rsidP="005C4009">
            <w:pPr>
              <w:jc w:val="right"/>
              <w:rPr>
                <w:sz w:val="20"/>
              </w:rPr>
            </w:pPr>
            <w:r>
              <w:rPr>
                <w:sz w:val="20"/>
              </w:rPr>
              <w:t>302,30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06250E" w:rsidP="005C4009">
            <w:pPr>
              <w:jc w:val="right"/>
              <w:rPr>
                <w:sz w:val="20"/>
              </w:rPr>
            </w:pPr>
            <w:r>
              <w:rPr>
                <w:sz w:val="20"/>
              </w:rPr>
              <w:t>324,40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2C2016" w:rsidP="005C4009">
            <w:pPr>
              <w:jc w:val="right"/>
              <w:rPr>
                <w:sz w:val="20"/>
              </w:rPr>
            </w:pPr>
            <w:r>
              <w:rPr>
                <w:sz w:val="20"/>
              </w:rPr>
              <w:t>348,10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2C2016" w:rsidP="005C4009">
            <w:pPr>
              <w:jc w:val="right"/>
              <w:rPr>
                <w:sz w:val="20"/>
              </w:rPr>
            </w:pPr>
            <w:r>
              <w:rPr>
                <w:sz w:val="20"/>
              </w:rPr>
              <w:t>376,30</w:t>
            </w:r>
          </w:p>
        </w:tc>
        <w:tc>
          <w:tcPr>
            <w:tcW w:w="762"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5,5</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7,3</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7,3</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8,1</w:t>
            </w:r>
            <w:r w:rsidR="0034113F">
              <w:rPr>
                <w:sz w:val="20"/>
              </w:rPr>
              <w:t>%</w:t>
            </w:r>
          </w:p>
        </w:tc>
      </w:tr>
      <w:tr w:rsidR="0034113F" w:rsidTr="005C4009">
        <w:trPr>
          <w:trHeight w:val="255"/>
          <w:jc w:val="center"/>
        </w:trPr>
        <w:tc>
          <w:tcPr>
            <w:tcW w:w="2229" w:type="dxa"/>
            <w:tcBorders>
              <w:top w:val="nil"/>
              <w:left w:val="single" w:sz="4" w:space="0" w:color="auto"/>
              <w:bottom w:val="single" w:sz="4" w:space="0" w:color="auto"/>
              <w:right w:val="single" w:sz="4" w:space="0" w:color="auto"/>
            </w:tcBorders>
            <w:shd w:val="clear" w:color="auto" w:fill="auto"/>
            <w:noWrap/>
            <w:vAlign w:val="center"/>
          </w:tcPr>
          <w:p w:rsidR="0034113F" w:rsidRDefault="0034113F" w:rsidP="005C4009">
            <w:pPr>
              <w:rPr>
                <w:sz w:val="20"/>
              </w:rPr>
            </w:pPr>
            <w:r>
              <w:rPr>
                <w:sz w:val="20"/>
              </w:rPr>
              <w:t>Putarina</w:t>
            </w:r>
          </w:p>
        </w:tc>
        <w:tc>
          <w:tcPr>
            <w:tcW w:w="916" w:type="dxa"/>
            <w:tcBorders>
              <w:top w:val="nil"/>
              <w:left w:val="nil"/>
              <w:bottom w:val="single" w:sz="4" w:space="0" w:color="auto"/>
              <w:right w:val="single" w:sz="4" w:space="0" w:color="auto"/>
            </w:tcBorders>
            <w:shd w:val="clear" w:color="auto" w:fill="auto"/>
            <w:noWrap/>
            <w:vAlign w:val="center"/>
          </w:tcPr>
          <w:p w:rsidR="0034113F" w:rsidRDefault="0040754D" w:rsidP="005C4009">
            <w:pPr>
              <w:jc w:val="right"/>
              <w:rPr>
                <w:sz w:val="20"/>
              </w:rPr>
            </w:pPr>
            <w:r>
              <w:rPr>
                <w:sz w:val="20"/>
              </w:rPr>
              <w:t>620,70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40754D" w:rsidP="005C4009">
            <w:pPr>
              <w:jc w:val="right"/>
              <w:rPr>
                <w:sz w:val="20"/>
              </w:rPr>
            </w:pPr>
            <w:r>
              <w:rPr>
                <w:sz w:val="20"/>
              </w:rPr>
              <w:t>656,40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06250E" w:rsidP="005C4009">
            <w:pPr>
              <w:jc w:val="right"/>
              <w:rPr>
                <w:sz w:val="20"/>
              </w:rPr>
            </w:pPr>
            <w:r>
              <w:rPr>
                <w:sz w:val="20"/>
              </w:rPr>
              <w:t>668,30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2C2016" w:rsidP="005C4009">
            <w:pPr>
              <w:jc w:val="right"/>
              <w:rPr>
                <w:sz w:val="20"/>
              </w:rPr>
            </w:pPr>
            <w:r>
              <w:rPr>
                <w:sz w:val="20"/>
              </w:rPr>
              <w:t>681,60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2C2016" w:rsidP="005C4009">
            <w:pPr>
              <w:jc w:val="right"/>
              <w:rPr>
                <w:sz w:val="20"/>
              </w:rPr>
            </w:pPr>
            <w:r>
              <w:rPr>
                <w:sz w:val="20"/>
              </w:rPr>
              <w:t>695,90</w:t>
            </w:r>
          </w:p>
        </w:tc>
        <w:tc>
          <w:tcPr>
            <w:tcW w:w="762"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5,8</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1,8</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2,0</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2,1</w:t>
            </w:r>
            <w:r w:rsidR="0034113F">
              <w:rPr>
                <w:sz w:val="20"/>
              </w:rPr>
              <w:t>%</w:t>
            </w:r>
          </w:p>
        </w:tc>
      </w:tr>
      <w:tr w:rsidR="0034113F" w:rsidTr="005C4009">
        <w:trPr>
          <w:trHeight w:val="255"/>
          <w:jc w:val="center"/>
        </w:trPr>
        <w:tc>
          <w:tcPr>
            <w:tcW w:w="2229" w:type="dxa"/>
            <w:tcBorders>
              <w:top w:val="nil"/>
              <w:left w:val="single" w:sz="4" w:space="0" w:color="auto"/>
              <w:bottom w:val="single" w:sz="4" w:space="0" w:color="auto"/>
              <w:right w:val="single" w:sz="4" w:space="0" w:color="auto"/>
            </w:tcBorders>
            <w:shd w:val="clear" w:color="auto" w:fill="auto"/>
            <w:noWrap/>
            <w:vAlign w:val="center"/>
          </w:tcPr>
          <w:p w:rsidR="0034113F" w:rsidRDefault="0034113F" w:rsidP="005C4009">
            <w:pPr>
              <w:rPr>
                <w:sz w:val="20"/>
              </w:rPr>
            </w:pPr>
            <w:r>
              <w:rPr>
                <w:sz w:val="20"/>
              </w:rPr>
              <w:t>Ostalo</w:t>
            </w:r>
          </w:p>
        </w:tc>
        <w:tc>
          <w:tcPr>
            <w:tcW w:w="916" w:type="dxa"/>
            <w:tcBorders>
              <w:top w:val="nil"/>
              <w:left w:val="nil"/>
              <w:bottom w:val="single" w:sz="4" w:space="0" w:color="auto"/>
              <w:right w:val="single" w:sz="4" w:space="0" w:color="auto"/>
            </w:tcBorders>
            <w:shd w:val="clear" w:color="auto" w:fill="auto"/>
            <w:noWrap/>
            <w:vAlign w:val="center"/>
          </w:tcPr>
          <w:p w:rsidR="0034113F" w:rsidRDefault="0040754D" w:rsidP="005C4009">
            <w:pPr>
              <w:jc w:val="right"/>
              <w:rPr>
                <w:sz w:val="20"/>
              </w:rPr>
            </w:pPr>
            <w:r>
              <w:rPr>
                <w:sz w:val="20"/>
              </w:rPr>
              <w:t>29,70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40754D" w:rsidP="005C4009">
            <w:pPr>
              <w:jc w:val="right"/>
              <w:rPr>
                <w:sz w:val="20"/>
              </w:rPr>
            </w:pPr>
            <w:r>
              <w:rPr>
                <w:sz w:val="20"/>
              </w:rPr>
              <w:t>34,60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06250E" w:rsidP="005C4009">
            <w:pPr>
              <w:jc w:val="right"/>
              <w:rPr>
                <w:sz w:val="20"/>
              </w:rPr>
            </w:pPr>
            <w:r>
              <w:rPr>
                <w:sz w:val="20"/>
              </w:rPr>
              <w:t>35,00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2C2016" w:rsidP="005C4009">
            <w:pPr>
              <w:jc w:val="right"/>
              <w:rPr>
                <w:sz w:val="20"/>
              </w:rPr>
            </w:pPr>
            <w:r>
              <w:rPr>
                <w:sz w:val="20"/>
              </w:rPr>
              <w:t>35,40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2C2016" w:rsidP="005C4009">
            <w:pPr>
              <w:jc w:val="right"/>
              <w:rPr>
                <w:sz w:val="20"/>
              </w:rPr>
            </w:pPr>
            <w:r>
              <w:rPr>
                <w:sz w:val="20"/>
              </w:rPr>
              <w:t>35,80</w:t>
            </w:r>
          </w:p>
        </w:tc>
        <w:tc>
          <w:tcPr>
            <w:tcW w:w="762"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16,4</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1,1</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1,2</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1,2</w:t>
            </w:r>
            <w:r w:rsidR="0034113F">
              <w:rPr>
                <w:sz w:val="20"/>
              </w:rPr>
              <w:t>%</w:t>
            </w:r>
          </w:p>
        </w:tc>
      </w:tr>
      <w:tr w:rsidR="0034113F" w:rsidTr="005C4009">
        <w:trPr>
          <w:trHeight w:val="255"/>
          <w:jc w:val="center"/>
        </w:trPr>
        <w:tc>
          <w:tcPr>
            <w:tcW w:w="2229" w:type="dxa"/>
            <w:tcBorders>
              <w:top w:val="nil"/>
              <w:left w:val="single" w:sz="4" w:space="0" w:color="auto"/>
              <w:bottom w:val="single" w:sz="4" w:space="0" w:color="auto"/>
              <w:right w:val="single" w:sz="4" w:space="0" w:color="auto"/>
            </w:tcBorders>
            <w:shd w:val="clear" w:color="auto" w:fill="auto"/>
            <w:noWrap/>
            <w:vAlign w:val="center"/>
          </w:tcPr>
          <w:p w:rsidR="0034113F" w:rsidRDefault="0034113F" w:rsidP="005C4009">
            <w:pPr>
              <w:rPr>
                <w:sz w:val="20"/>
              </w:rPr>
            </w:pPr>
            <w:r>
              <w:rPr>
                <w:sz w:val="20"/>
              </w:rPr>
              <w:t>UKUPNO</w:t>
            </w:r>
          </w:p>
        </w:tc>
        <w:tc>
          <w:tcPr>
            <w:tcW w:w="916" w:type="dxa"/>
            <w:tcBorders>
              <w:top w:val="nil"/>
              <w:left w:val="nil"/>
              <w:bottom w:val="single" w:sz="4" w:space="0" w:color="auto"/>
              <w:right w:val="single" w:sz="4" w:space="0" w:color="auto"/>
            </w:tcBorders>
            <w:shd w:val="clear" w:color="auto" w:fill="auto"/>
            <w:noWrap/>
            <w:vAlign w:val="center"/>
          </w:tcPr>
          <w:p w:rsidR="0034113F" w:rsidRDefault="0040754D" w:rsidP="005C4009">
            <w:pPr>
              <w:jc w:val="right"/>
              <w:rPr>
                <w:sz w:val="20"/>
              </w:rPr>
            </w:pPr>
            <w:r>
              <w:rPr>
                <w:sz w:val="20"/>
              </w:rPr>
              <w:t>6.220,80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40754D" w:rsidP="005C4009">
            <w:pPr>
              <w:jc w:val="right"/>
              <w:rPr>
                <w:sz w:val="20"/>
              </w:rPr>
            </w:pPr>
            <w:r>
              <w:rPr>
                <w:sz w:val="20"/>
              </w:rPr>
              <w:t>6.452,90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06250E" w:rsidP="005C4009">
            <w:pPr>
              <w:jc w:val="right"/>
              <w:rPr>
                <w:sz w:val="20"/>
              </w:rPr>
            </w:pPr>
            <w:r>
              <w:rPr>
                <w:sz w:val="20"/>
              </w:rPr>
              <w:t>6.629,60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2C2016" w:rsidP="005C4009">
            <w:pPr>
              <w:jc w:val="right"/>
              <w:rPr>
                <w:sz w:val="20"/>
              </w:rPr>
            </w:pPr>
            <w:r>
              <w:rPr>
                <w:sz w:val="20"/>
              </w:rPr>
              <w:t>6.828,70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2C2016" w:rsidP="005C4009">
            <w:pPr>
              <w:jc w:val="right"/>
              <w:rPr>
                <w:sz w:val="20"/>
              </w:rPr>
            </w:pPr>
            <w:r>
              <w:rPr>
                <w:sz w:val="20"/>
              </w:rPr>
              <w:t>7,052,60</w:t>
            </w:r>
          </w:p>
        </w:tc>
        <w:tc>
          <w:tcPr>
            <w:tcW w:w="762"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3,7</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2,7</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3,0</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34113F" w:rsidP="005C4009">
            <w:pPr>
              <w:jc w:val="right"/>
              <w:rPr>
                <w:sz w:val="20"/>
              </w:rPr>
            </w:pPr>
            <w:r>
              <w:rPr>
                <w:sz w:val="20"/>
              </w:rPr>
              <w:t>3</w:t>
            </w:r>
            <w:r w:rsidR="00C737B8">
              <w:rPr>
                <w:sz w:val="20"/>
              </w:rPr>
              <w:t>,3</w:t>
            </w:r>
            <w:r>
              <w:rPr>
                <w:sz w:val="20"/>
              </w:rPr>
              <w:t>%</w:t>
            </w:r>
          </w:p>
        </w:tc>
      </w:tr>
      <w:tr w:rsidR="0034113F" w:rsidTr="006570F0">
        <w:trPr>
          <w:trHeight w:val="255"/>
          <w:jc w:val="center"/>
        </w:trPr>
        <w:tc>
          <w:tcPr>
            <w:tcW w:w="2229" w:type="dxa"/>
            <w:tcBorders>
              <w:top w:val="nil"/>
              <w:left w:val="single" w:sz="4" w:space="0" w:color="auto"/>
              <w:bottom w:val="single" w:sz="4" w:space="0" w:color="auto"/>
              <w:right w:val="single" w:sz="4" w:space="0" w:color="auto"/>
            </w:tcBorders>
            <w:shd w:val="clear" w:color="auto" w:fill="auto"/>
            <w:noWrap/>
            <w:vAlign w:val="center"/>
          </w:tcPr>
          <w:p w:rsidR="0034113F" w:rsidRDefault="0034113F" w:rsidP="005C4009">
            <w:pPr>
              <w:rPr>
                <w:sz w:val="20"/>
              </w:rPr>
            </w:pPr>
            <w:r>
              <w:rPr>
                <w:sz w:val="20"/>
              </w:rPr>
              <w:t>Putarina (0,10 KM/l)</w:t>
            </w:r>
          </w:p>
        </w:tc>
        <w:tc>
          <w:tcPr>
            <w:tcW w:w="916" w:type="dxa"/>
            <w:tcBorders>
              <w:top w:val="nil"/>
              <w:left w:val="nil"/>
              <w:bottom w:val="single" w:sz="4" w:space="0" w:color="auto"/>
              <w:right w:val="single" w:sz="4" w:space="0" w:color="auto"/>
            </w:tcBorders>
            <w:shd w:val="clear" w:color="auto" w:fill="auto"/>
            <w:noWrap/>
            <w:vAlign w:val="center"/>
          </w:tcPr>
          <w:p w:rsidR="0034113F" w:rsidRDefault="0034113F" w:rsidP="005C4009">
            <w:pPr>
              <w:jc w:val="right"/>
              <w:rPr>
                <w:sz w:val="20"/>
              </w:rPr>
            </w:pPr>
            <w:r>
              <w:rPr>
                <w:sz w:val="20"/>
              </w:rPr>
              <w:t>-</w:t>
            </w:r>
            <w:r w:rsidR="0040754D">
              <w:rPr>
                <w:sz w:val="20"/>
              </w:rPr>
              <w:t>385,90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34113F" w:rsidP="005C4009">
            <w:pPr>
              <w:jc w:val="right"/>
              <w:rPr>
                <w:sz w:val="20"/>
              </w:rPr>
            </w:pPr>
            <w:r>
              <w:rPr>
                <w:sz w:val="20"/>
              </w:rPr>
              <w:t>-</w:t>
            </w:r>
            <w:r w:rsidR="0040754D">
              <w:rPr>
                <w:sz w:val="20"/>
              </w:rPr>
              <w:t>410,30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06250E" w:rsidP="005C4009">
            <w:pPr>
              <w:jc w:val="right"/>
              <w:rPr>
                <w:sz w:val="20"/>
              </w:rPr>
            </w:pPr>
            <w:r>
              <w:rPr>
                <w:sz w:val="20"/>
              </w:rPr>
              <w:t>-417,70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34113F" w:rsidP="005C4009">
            <w:pPr>
              <w:jc w:val="right"/>
              <w:rPr>
                <w:sz w:val="20"/>
              </w:rPr>
            </w:pPr>
            <w:r>
              <w:rPr>
                <w:sz w:val="20"/>
              </w:rPr>
              <w:t>-</w:t>
            </w:r>
            <w:r w:rsidR="002C2016">
              <w:rPr>
                <w:sz w:val="20"/>
              </w:rPr>
              <w:t>426,00</w:t>
            </w:r>
          </w:p>
        </w:tc>
        <w:tc>
          <w:tcPr>
            <w:tcW w:w="916" w:type="dxa"/>
            <w:tcBorders>
              <w:top w:val="nil"/>
              <w:left w:val="nil"/>
              <w:bottom w:val="single" w:sz="4" w:space="0" w:color="auto"/>
              <w:right w:val="single" w:sz="4" w:space="0" w:color="auto"/>
            </w:tcBorders>
            <w:shd w:val="clear" w:color="auto" w:fill="auto"/>
            <w:noWrap/>
            <w:vAlign w:val="center"/>
          </w:tcPr>
          <w:p w:rsidR="0034113F" w:rsidRDefault="0034113F" w:rsidP="005C4009">
            <w:pPr>
              <w:jc w:val="right"/>
              <w:rPr>
                <w:sz w:val="20"/>
              </w:rPr>
            </w:pPr>
            <w:r>
              <w:rPr>
                <w:sz w:val="20"/>
              </w:rPr>
              <w:t>-</w:t>
            </w:r>
            <w:r w:rsidR="002C2016">
              <w:rPr>
                <w:sz w:val="20"/>
              </w:rPr>
              <w:t>435,00</w:t>
            </w:r>
          </w:p>
        </w:tc>
        <w:tc>
          <w:tcPr>
            <w:tcW w:w="762"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6,3</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1,8</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2,0</w:t>
            </w:r>
            <w:r w:rsidR="0034113F">
              <w:rPr>
                <w:sz w:val="20"/>
              </w:rPr>
              <w:t>%</w:t>
            </w:r>
          </w:p>
        </w:tc>
        <w:tc>
          <w:tcPr>
            <w:tcW w:w="733" w:type="dxa"/>
            <w:tcBorders>
              <w:top w:val="nil"/>
              <w:left w:val="nil"/>
              <w:bottom w:val="single" w:sz="4" w:space="0" w:color="auto"/>
              <w:right w:val="single" w:sz="4" w:space="0" w:color="auto"/>
            </w:tcBorders>
            <w:shd w:val="clear" w:color="auto" w:fill="auto"/>
            <w:noWrap/>
            <w:vAlign w:val="center"/>
          </w:tcPr>
          <w:p w:rsidR="0034113F" w:rsidRDefault="00C737B8" w:rsidP="005C4009">
            <w:pPr>
              <w:jc w:val="right"/>
              <w:rPr>
                <w:sz w:val="20"/>
              </w:rPr>
            </w:pPr>
            <w:r>
              <w:rPr>
                <w:sz w:val="20"/>
              </w:rPr>
              <w:t>2,1</w:t>
            </w:r>
            <w:r w:rsidR="0034113F">
              <w:rPr>
                <w:sz w:val="20"/>
              </w:rPr>
              <w:t>%</w:t>
            </w:r>
          </w:p>
        </w:tc>
      </w:tr>
      <w:tr w:rsidR="0034113F" w:rsidTr="006570F0">
        <w:trPr>
          <w:trHeight w:val="255"/>
          <w:jc w:val="center"/>
        </w:trPr>
        <w:tc>
          <w:tcPr>
            <w:tcW w:w="2229" w:type="dxa"/>
            <w:tcBorders>
              <w:top w:val="single" w:sz="4" w:space="0" w:color="auto"/>
              <w:left w:val="single" w:sz="4" w:space="0" w:color="auto"/>
              <w:bottom w:val="single" w:sz="4" w:space="0" w:color="auto"/>
              <w:right w:val="single" w:sz="4" w:space="0" w:color="auto"/>
            </w:tcBorders>
            <w:shd w:val="pct10" w:color="auto" w:fill="auto"/>
            <w:noWrap/>
            <w:vAlign w:val="center"/>
          </w:tcPr>
          <w:p w:rsidR="0034113F" w:rsidRPr="006570F0" w:rsidRDefault="0034113F" w:rsidP="005C4009">
            <w:pPr>
              <w:rPr>
                <w:b/>
                <w:sz w:val="20"/>
              </w:rPr>
            </w:pPr>
            <w:r w:rsidRPr="006570F0">
              <w:rPr>
                <w:b/>
                <w:sz w:val="20"/>
              </w:rPr>
              <w:t>SREDSTVA ZA RASPODJELU</w:t>
            </w:r>
          </w:p>
        </w:tc>
        <w:tc>
          <w:tcPr>
            <w:tcW w:w="916" w:type="dxa"/>
            <w:tcBorders>
              <w:top w:val="single" w:sz="4" w:space="0" w:color="auto"/>
              <w:left w:val="nil"/>
              <w:bottom w:val="single" w:sz="4" w:space="0" w:color="auto"/>
              <w:right w:val="single" w:sz="4" w:space="0" w:color="auto"/>
            </w:tcBorders>
            <w:shd w:val="pct10" w:color="auto" w:fill="auto"/>
            <w:noWrap/>
            <w:vAlign w:val="center"/>
          </w:tcPr>
          <w:p w:rsidR="0034113F" w:rsidRPr="006570F0" w:rsidRDefault="0040754D" w:rsidP="005C4009">
            <w:pPr>
              <w:jc w:val="right"/>
              <w:rPr>
                <w:b/>
                <w:sz w:val="20"/>
              </w:rPr>
            </w:pPr>
            <w:r>
              <w:rPr>
                <w:b/>
                <w:sz w:val="20"/>
              </w:rPr>
              <w:t>5.834,90</w:t>
            </w:r>
          </w:p>
        </w:tc>
        <w:tc>
          <w:tcPr>
            <w:tcW w:w="916" w:type="dxa"/>
            <w:tcBorders>
              <w:top w:val="single" w:sz="4" w:space="0" w:color="auto"/>
              <w:left w:val="nil"/>
              <w:bottom w:val="single" w:sz="4" w:space="0" w:color="auto"/>
              <w:right w:val="single" w:sz="4" w:space="0" w:color="auto"/>
            </w:tcBorders>
            <w:shd w:val="pct10" w:color="auto" w:fill="auto"/>
            <w:noWrap/>
            <w:vAlign w:val="center"/>
          </w:tcPr>
          <w:p w:rsidR="0034113F" w:rsidRPr="006570F0" w:rsidRDefault="0040754D" w:rsidP="005C4009">
            <w:pPr>
              <w:jc w:val="right"/>
              <w:rPr>
                <w:b/>
                <w:sz w:val="20"/>
              </w:rPr>
            </w:pPr>
            <w:r>
              <w:rPr>
                <w:b/>
                <w:sz w:val="20"/>
              </w:rPr>
              <w:t>6.042,70</w:t>
            </w:r>
          </w:p>
        </w:tc>
        <w:tc>
          <w:tcPr>
            <w:tcW w:w="916" w:type="dxa"/>
            <w:tcBorders>
              <w:top w:val="single" w:sz="4" w:space="0" w:color="auto"/>
              <w:left w:val="nil"/>
              <w:bottom w:val="single" w:sz="4" w:space="0" w:color="auto"/>
              <w:right w:val="single" w:sz="4" w:space="0" w:color="auto"/>
            </w:tcBorders>
            <w:shd w:val="pct10" w:color="auto" w:fill="auto"/>
            <w:noWrap/>
            <w:vAlign w:val="center"/>
          </w:tcPr>
          <w:p w:rsidR="0034113F" w:rsidRPr="006570F0" w:rsidRDefault="0006250E" w:rsidP="005C4009">
            <w:pPr>
              <w:jc w:val="right"/>
              <w:rPr>
                <w:b/>
                <w:sz w:val="20"/>
              </w:rPr>
            </w:pPr>
            <w:r>
              <w:rPr>
                <w:b/>
                <w:sz w:val="20"/>
              </w:rPr>
              <w:t>6.211,90</w:t>
            </w:r>
          </w:p>
        </w:tc>
        <w:tc>
          <w:tcPr>
            <w:tcW w:w="916" w:type="dxa"/>
            <w:tcBorders>
              <w:top w:val="single" w:sz="4" w:space="0" w:color="auto"/>
              <w:left w:val="nil"/>
              <w:bottom w:val="single" w:sz="4" w:space="0" w:color="auto"/>
              <w:right w:val="single" w:sz="4" w:space="0" w:color="auto"/>
            </w:tcBorders>
            <w:shd w:val="pct10" w:color="auto" w:fill="auto"/>
            <w:noWrap/>
            <w:vAlign w:val="center"/>
          </w:tcPr>
          <w:p w:rsidR="0034113F" w:rsidRPr="006570F0" w:rsidRDefault="0034113F" w:rsidP="005C4009">
            <w:pPr>
              <w:jc w:val="right"/>
              <w:rPr>
                <w:b/>
                <w:sz w:val="20"/>
              </w:rPr>
            </w:pPr>
            <w:r w:rsidRPr="006570F0">
              <w:rPr>
                <w:b/>
                <w:sz w:val="20"/>
              </w:rPr>
              <w:t>5.442,8</w:t>
            </w:r>
          </w:p>
        </w:tc>
        <w:tc>
          <w:tcPr>
            <w:tcW w:w="916" w:type="dxa"/>
            <w:tcBorders>
              <w:top w:val="single" w:sz="4" w:space="0" w:color="auto"/>
              <w:left w:val="nil"/>
              <w:bottom w:val="single" w:sz="4" w:space="0" w:color="auto"/>
              <w:right w:val="single" w:sz="4" w:space="0" w:color="auto"/>
            </w:tcBorders>
            <w:shd w:val="pct10" w:color="auto" w:fill="auto"/>
            <w:noWrap/>
            <w:vAlign w:val="center"/>
          </w:tcPr>
          <w:p w:rsidR="0034113F" w:rsidRPr="006570F0" w:rsidRDefault="002C2016" w:rsidP="005C4009">
            <w:pPr>
              <w:jc w:val="right"/>
              <w:rPr>
                <w:b/>
                <w:sz w:val="20"/>
              </w:rPr>
            </w:pPr>
            <w:r>
              <w:rPr>
                <w:b/>
                <w:sz w:val="20"/>
              </w:rPr>
              <w:t>6.617,70</w:t>
            </w:r>
          </w:p>
        </w:tc>
        <w:tc>
          <w:tcPr>
            <w:tcW w:w="762" w:type="dxa"/>
            <w:tcBorders>
              <w:top w:val="single" w:sz="4" w:space="0" w:color="auto"/>
              <w:left w:val="nil"/>
              <w:bottom w:val="single" w:sz="4" w:space="0" w:color="auto"/>
              <w:right w:val="single" w:sz="4" w:space="0" w:color="auto"/>
            </w:tcBorders>
            <w:shd w:val="pct10" w:color="auto" w:fill="auto"/>
            <w:noWrap/>
            <w:vAlign w:val="center"/>
          </w:tcPr>
          <w:p w:rsidR="0034113F" w:rsidRPr="006570F0" w:rsidRDefault="0034113F" w:rsidP="005C4009">
            <w:pPr>
              <w:jc w:val="right"/>
              <w:rPr>
                <w:b/>
                <w:sz w:val="20"/>
              </w:rPr>
            </w:pPr>
            <w:r w:rsidRPr="006570F0">
              <w:rPr>
                <w:b/>
                <w:sz w:val="20"/>
              </w:rPr>
              <w:t>3,2%</w:t>
            </w:r>
          </w:p>
        </w:tc>
        <w:tc>
          <w:tcPr>
            <w:tcW w:w="733" w:type="dxa"/>
            <w:tcBorders>
              <w:top w:val="single" w:sz="4" w:space="0" w:color="auto"/>
              <w:left w:val="nil"/>
              <w:bottom w:val="single" w:sz="4" w:space="0" w:color="auto"/>
              <w:right w:val="single" w:sz="4" w:space="0" w:color="auto"/>
            </w:tcBorders>
            <w:shd w:val="pct10" w:color="auto" w:fill="auto"/>
            <w:noWrap/>
            <w:vAlign w:val="center"/>
          </w:tcPr>
          <w:p w:rsidR="0034113F" w:rsidRPr="006570F0" w:rsidRDefault="0034113F" w:rsidP="005C4009">
            <w:pPr>
              <w:jc w:val="right"/>
              <w:rPr>
                <w:b/>
                <w:sz w:val="20"/>
              </w:rPr>
            </w:pPr>
            <w:r w:rsidRPr="006570F0">
              <w:rPr>
                <w:b/>
                <w:sz w:val="20"/>
              </w:rPr>
              <w:t>2,</w:t>
            </w:r>
            <w:r w:rsidR="00C737B8">
              <w:rPr>
                <w:b/>
                <w:sz w:val="20"/>
              </w:rPr>
              <w:t>8</w:t>
            </w:r>
            <w:r w:rsidRPr="006570F0">
              <w:rPr>
                <w:b/>
                <w:sz w:val="20"/>
              </w:rPr>
              <w:t>%</w:t>
            </w:r>
          </w:p>
        </w:tc>
        <w:tc>
          <w:tcPr>
            <w:tcW w:w="733" w:type="dxa"/>
            <w:tcBorders>
              <w:top w:val="single" w:sz="4" w:space="0" w:color="auto"/>
              <w:left w:val="nil"/>
              <w:bottom w:val="single" w:sz="4" w:space="0" w:color="auto"/>
              <w:right w:val="single" w:sz="4" w:space="0" w:color="auto"/>
            </w:tcBorders>
            <w:shd w:val="pct10" w:color="auto" w:fill="auto"/>
            <w:noWrap/>
            <w:vAlign w:val="center"/>
          </w:tcPr>
          <w:p w:rsidR="0034113F" w:rsidRPr="006570F0" w:rsidRDefault="00C737B8" w:rsidP="005C4009">
            <w:pPr>
              <w:jc w:val="right"/>
              <w:rPr>
                <w:b/>
                <w:sz w:val="20"/>
              </w:rPr>
            </w:pPr>
            <w:r>
              <w:rPr>
                <w:b/>
                <w:sz w:val="20"/>
              </w:rPr>
              <w:t>3,1</w:t>
            </w:r>
            <w:r w:rsidR="0034113F" w:rsidRPr="006570F0">
              <w:rPr>
                <w:b/>
                <w:sz w:val="20"/>
              </w:rPr>
              <w:t>%</w:t>
            </w:r>
          </w:p>
        </w:tc>
        <w:tc>
          <w:tcPr>
            <w:tcW w:w="733" w:type="dxa"/>
            <w:tcBorders>
              <w:top w:val="single" w:sz="4" w:space="0" w:color="auto"/>
              <w:left w:val="nil"/>
              <w:bottom w:val="single" w:sz="4" w:space="0" w:color="auto"/>
              <w:right w:val="single" w:sz="4" w:space="0" w:color="auto"/>
            </w:tcBorders>
            <w:shd w:val="pct10" w:color="auto" w:fill="auto"/>
            <w:noWrap/>
            <w:vAlign w:val="center"/>
          </w:tcPr>
          <w:p w:rsidR="0034113F" w:rsidRPr="006570F0" w:rsidRDefault="0034113F" w:rsidP="005C4009">
            <w:pPr>
              <w:jc w:val="right"/>
              <w:rPr>
                <w:b/>
                <w:sz w:val="20"/>
              </w:rPr>
            </w:pPr>
            <w:r w:rsidRPr="006570F0">
              <w:rPr>
                <w:b/>
                <w:sz w:val="20"/>
              </w:rPr>
              <w:t>3,</w:t>
            </w:r>
            <w:r w:rsidR="00C737B8">
              <w:rPr>
                <w:b/>
                <w:sz w:val="20"/>
              </w:rPr>
              <w:t>4</w:t>
            </w:r>
            <w:r w:rsidRPr="006570F0">
              <w:rPr>
                <w:b/>
                <w:sz w:val="20"/>
              </w:rPr>
              <w:t>%</w:t>
            </w:r>
          </w:p>
        </w:tc>
      </w:tr>
    </w:tbl>
    <w:p w:rsidR="006570F0" w:rsidRDefault="006570F0" w:rsidP="006570F0">
      <w:pPr>
        <w:jc w:val="both"/>
        <w:rPr>
          <w:rFonts w:ascii="Arial" w:hAnsi="Arial" w:cs="Arial"/>
          <w:sz w:val="16"/>
          <w:szCs w:val="16"/>
          <w:lang w:val="bs-Latn-BA" w:eastAsia="bs-Latn-BA"/>
        </w:rPr>
      </w:pPr>
      <w:r w:rsidRPr="004F6B67">
        <w:rPr>
          <w:rFonts w:ascii="Arial" w:hAnsi="Arial" w:cs="Arial"/>
          <w:b/>
          <w:bCs/>
          <w:sz w:val="20"/>
          <w:lang w:val="bs-Latn-BA" w:eastAsia="bs-Latn-BA"/>
        </w:rPr>
        <w:t>Napomen</w:t>
      </w:r>
      <w:r w:rsidR="00370EEC">
        <w:rPr>
          <w:rFonts w:ascii="Arial" w:hAnsi="Arial" w:cs="Arial"/>
          <w:b/>
          <w:bCs/>
          <w:sz w:val="20"/>
          <w:lang w:val="bs-Latn-BA" w:eastAsia="bs-Latn-BA"/>
        </w:rPr>
        <w:t>e</w:t>
      </w:r>
      <w:r w:rsidRPr="004F6B67">
        <w:rPr>
          <w:rFonts w:ascii="Arial" w:hAnsi="Arial" w:cs="Arial"/>
          <w:b/>
          <w:bCs/>
          <w:sz w:val="20"/>
          <w:lang w:val="bs-Latn-BA" w:eastAsia="bs-Latn-BA"/>
        </w:rPr>
        <w:t>:</w:t>
      </w:r>
      <w:r w:rsidRPr="004F6B67">
        <w:rPr>
          <w:rFonts w:ascii="Arial" w:hAnsi="Arial" w:cs="Arial"/>
          <w:sz w:val="20"/>
          <w:lang w:val="bs-Latn-BA" w:eastAsia="bs-Latn-BA"/>
        </w:rPr>
        <w:t xml:space="preserve"> Izvor podataka Odjeljenje za makroekonomsku analizu UIO BiH, april</w:t>
      </w:r>
      <w:r>
        <w:rPr>
          <w:rFonts w:ascii="Arial" w:hAnsi="Arial" w:cs="Arial"/>
          <w:sz w:val="20"/>
          <w:lang w:val="bs-Latn-BA" w:eastAsia="bs-Latn-BA"/>
        </w:rPr>
        <w:t xml:space="preserve"> </w:t>
      </w:r>
      <w:r w:rsidRPr="004F6B67">
        <w:rPr>
          <w:rFonts w:ascii="Arial" w:hAnsi="Arial" w:cs="Arial"/>
          <w:sz w:val="16"/>
          <w:szCs w:val="16"/>
          <w:lang w:val="bs-Latn-BA" w:eastAsia="bs-Latn-BA"/>
        </w:rPr>
        <w:t>201</w:t>
      </w:r>
      <w:r w:rsidR="00C55F34">
        <w:rPr>
          <w:rFonts w:ascii="Arial" w:hAnsi="Arial" w:cs="Arial"/>
          <w:sz w:val="16"/>
          <w:szCs w:val="16"/>
          <w:lang w:val="bs-Latn-BA" w:eastAsia="bs-Latn-BA"/>
        </w:rPr>
        <w:t>9</w:t>
      </w:r>
      <w:r w:rsidRPr="004F6B67">
        <w:rPr>
          <w:rFonts w:ascii="Arial" w:hAnsi="Arial" w:cs="Arial"/>
          <w:sz w:val="16"/>
          <w:szCs w:val="16"/>
          <w:lang w:val="bs-Latn-BA" w:eastAsia="bs-Latn-BA"/>
        </w:rPr>
        <w:t xml:space="preserve"> </w:t>
      </w:r>
    </w:p>
    <w:p w:rsidR="00370EEC" w:rsidRDefault="00370EEC" w:rsidP="006570F0">
      <w:pPr>
        <w:jc w:val="both"/>
        <w:rPr>
          <w:rFonts w:ascii="Arial" w:hAnsi="Arial" w:cs="Arial"/>
          <w:sz w:val="16"/>
          <w:szCs w:val="16"/>
          <w:lang w:val="bs-Latn-BA" w:eastAsia="bs-Latn-BA"/>
        </w:rPr>
      </w:pPr>
    </w:p>
    <w:p w:rsidR="0034113F" w:rsidRPr="00514C4B" w:rsidRDefault="00370EEC" w:rsidP="00370EEC">
      <w:pPr>
        <w:jc w:val="both"/>
        <w:rPr>
          <w:sz w:val="16"/>
          <w:szCs w:val="16"/>
        </w:rPr>
      </w:pPr>
      <w:r w:rsidRPr="00514C4B">
        <w:rPr>
          <w:sz w:val="16"/>
          <w:szCs w:val="16"/>
        </w:rPr>
        <w:t>*) Namjenska putarina je do 1.2.2018. iznosila 0,10 KM/litar derivata nafte, a od 1.2.2018. 0,25 KM/litar derivata nafte **) Iznos raspoređene namjenske putarine u 2018. godini prema odredbama Zakona o izmjenama i dopunama Zakona o uplatama na Jedinstveni račun i raspodjeli prihoda10 ne odgovara u potpunosti iznosu prikupljene namjenske putarine prikazane u Tabeli 3 (385,9 mil KM) zbog primjene novog modela raspodjele prikupljene namjenske putarine od 1.2.2018. prema kojem se raspodjela ne vrši na dnevnoj bazi, nego naknadno, po završetku mjeseca za prethodni mjesec na temelju preliminarnog/konačnog izvještaja UIO o naplaćenim prihodima po vrstama. Raspodjele namjenske putarine od 0,10 KM/litar derivata po starom modelu dnevne raspodjele okončana je 31.1.2018., a raspodjela namjenske putarine od 0,25 KM/litar derivata entitetima i Brčko Distriktu prema novom modelu započela je tek u martu 2018.</w:t>
      </w:r>
    </w:p>
    <w:p w:rsidR="004E4AB7" w:rsidRDefault="004E4AB7" w:rsidP="004E4AB7">
      <w:pPr>
        <w:jc w:val="both"/>
        <w:rPr>
          <w:b/>
        </w:rPr>
      </w:pPr>
    </w:p>
    <w:p w:rsidR="004E4AB7" w:rsidRPr="00370EEC" w:rsidRDefault="004E4AB7" w:rsidP="004E4AB7">
      <w:pPr>
        <w:jc w:val="both"/>
        <w:rPr>
          <w:b/>
          <w:u w:val="single"/>
        </w:rPr>
      </w:pPr>
      <w:r w:rsidRPr="00370EEC">
        <w:rPr>
          <w:b/>
          <w:u w:val="single"/>
        </w:rPr>
        <w:t>PDV</w:t>
      </w:r>
    </w:p>
    <w:p w:rsidR="004E4AB7" w:rsidRDefault="004E4AB7" w:rsidP="004E4AB7">
      <w:pPr>
        <w:jc w:val="both"/>
        <w:rPr>
          <w:b/>
        </w:rPr>
      </w:pPr>
    </w:p>
    <w:p w:rsidR="00036B6D" w:rsidRDefault="00036B6D" w:rsidP="004E4AB7">
      <w:pPr>
        <w:jc w:val="both"/>
        <w:rPr>
          <w:b/>
        </w:rPr>
      </w:pPr>
      <w:r>
        <w:t>Na osnovu podataka o naplati prihoda za prvi kvartal, projektiranih negativnih efekata krize uzrokovane pandemijom virusa korona i projekcija kretanja potrošnje, uvoza, i izvoza u 2020. godini, očekuje se naplata prihoda od PDV-a u iznosu od 3.944,8 mil KM, što je za 1,9% ispod naplate u prethodnoj godini. Projektirana stopa pada PDV-a je nešto veća od projektirane stope pada privatne potrošnje. Ovo je u skladu sa dugogodišnjim podacima o elastičnosti PDV prihoda u odnosu na privatnu potrošnju u BiH, te nalazom Studije MMF-a koja pokazuje da su promjene u naplati poreza više izražene nego promjene odgovarajuće osnovice iz nacionalnih računa.</w:t>
      </w:r>
    </w:p>
    <w:p w:rsidR="003A18DA" w:rsidRDefault="003A18DA" w:rsidP="004E4AB7">
      <w:pPr>
        <w:jc w:val="both"/>
        <w:rPr>
          <w:sz w:val="24"/>
          <w:szCs w:val="24"/>
        </w:rPr>
      </w:pPr>
    </w:p>
    <w:p w:rsidR="003A18DA" w:rsidRPr="003A18DA" w:rsidRDefault="003A18DA" w:rsidP="004E4AB7">
      <w:pPr>
        <w:jc w:val="both"/>
        <w:rPr>
          <w:b/>
          <w:bCs/>
          <w:sz w:val="24"/>
          <w:szCs w:val="24"/>
          <w:u w:val="single"/>
        </w:rPr>
      </w:pPr>
      <w:r w:rsidRPr="003A18DA">
        <w:rPr>
          <w:b/>
          <w:bCs/>
          <w:sz w:val="24"/>
          <w:szCs w:val="24"/>
          <w:u w:val="single"/>
        </w:rPr>
        <w:t>Carine</w:t>
      </w:r>
    </w:p>
    <w:p w:rsidR="003A18DA" w:rsidRDefault="003A18DA" w:rsidP="004E4AB7">
      <w:pPr>
        <w:jc w:val="both"/>
        <w:rPr>
          <w:sz w:val="24"/>
          <w:szCs w:val="24"/>
        </w:rPr>
      </w:pPr>
    </w:p>
    <w:p w:rsidR="00F97A0B" w:rsidRDefault="00B3636B" w:rsidP="004E4AB7">
      <w:pPr>
        <w:jc w:val="both"/>
      </w:pPr>
      <w:r>
        <w:t>Projektirani iznos neto prihoda od carina u 2020. godini iznosi 293,1 mil KM što je za 2,5% ispod ostvarenja u 2019. Projekcije uzimaju obzir trendove kretanja uvoza i carina u prvom kvartalu 2020. g. i prethodnim godinama, te projekcije kretanja uvoza (DEP).</w:t>
      </w:r>
    </w:p>
    <w:p w:rsidR="00B3636B" w:rsidRDefault="00B3636B" w:rsidP="004E4AB7">
      <w:pPr>
        <w:jc w:val="both"/>
        <w:rPr>
          <w:sz w:val="24"/>
          <w:szCs w:val="24"/>
        </w:rPr>
      </w:pPr>
    </w:p>
    <w:p w:rsidR="00F97A0B" w:rsidRDefault="00D77033" w:rsidP="004E4AB7">
      <w:pPr>
        <w:jc w:val="both"/>
        <w:rPr>
          <w:b/>
          <w:bCs/>
          <w:sz w:val="24"/>
          <w:szCs w:val="24"/>
          <w:u w:val="single"/>
        </w:rPr>
      </w:pPr>
      <w:r w:rsidRPr="00D77033">
        <w:rPr>
          <w:b/>
          <w:bCs/>
          <w:sz w:val="24"/>
          <w:szCs w:val="24"/>
          <w:u w:val="single"/>
        </w:rPr>
        <w:t>Akcize i putarina</w:t>
      </w:r>
    </w:p>
    <w:p w:rsidR="00B3636B" w:rsidRDefault="00B3636B" w:rsidP="004E4AB7">
      <w:pPr>
        <w:jc w:val="both"/>
        <w:rPr>
          <w:b/>
          <w:bCs/>
          <w:sz w:val="24"/>
          <w:szCs w:val="24"/>
          <w:u w:val="single"/>
        </w:rPr>
      </w:pPr>
    </w:p>
    <w:p w:rsidR="007E3934" w:rsidRDefault="00B3636B" w:rsidP="004E4AB7">
      <w:pPr>
        <w:jc w:val="both"/>
        <w:rPr>
          <w:sz w:val="24"/>
          <w:szCs w:val="24"/>
        </w:rPr>
      </w:pPr>
      <w:r w:rsidRPr="00B3636B">
        <w:rPr>
          <w:sz w:val="24"/>
          <w:szCs w:val="24"/>
        </w:rPr>
        <w:t xml:space="preserve">Projektirani iznos ukupnih prihoda od akciza u 2020. godini iznosi 1.515,5 mil KM, što je za 17,8 mil KM ili 1,2% manje od ostvarenja u 2019. Prihodi od akciza na derivate nafte i putarina Prethodne dvije godine obilježile su snažne promjene na tržištu derivata nafte zbog efekata izmjena Zakona o akcizama iz 2017. godine (u primjeni od 1.2.2018.g.)13. U navedenom periodu je došlo do značajnih promjena u strukturi osnovice akciza14 na derivate nafte. Učešće lož ulja u osnovici se, značajno smanjilo, sa 5,0% u 2017. na 3,4% u 2019. godini. Učešće kerozina, kao komponente sa nanižom zbirnom stopom oporezivanja akcizom i putarinom, se povećalo sa 1,4% na 2,1%. Uprkos nižoj stopi akcize (0,3 KM/l), visoko učešće dizela u osnovici uz stabilne stope rasta potošnje, dovelo je do toga da je ova vrsta derivata generirala najveći iznos rasta prihoda od akciza na derivate u periodu 2017-2019. Komponenta potrošnje bezolovnog benzina (kao i njegovo učešće u osnovici za akcize) se smanjila, te je imala negativan uticaj na stopu rasta prihoda u navedenom periodu. Ukupna osnovica za akcize, odnosno količina oporezovanih </w:t>
      </w:r>
      <w:r w:rsidRPr="00B3636B">
        <w:rPr>
          <w:sz w:val="24"/>
          <w:szCs w:val="24"/>
        </w:rPr>
        <w:lastRenderedPageBreak/>
        <w:t>derivata porasla je za svega 1,5% u navedenom periodu. Navedena stopa je dosta ispod procijenjene dvogodišnje stope rasta realnog BDP-a i potrošnje a razloge možemo tražiti u rastu cijena derivata u posmatranom periodu. Što se tiče prihoda od putarine, slika je dosta drugačija. U 2019. godini je naplaćeno čak 70,1% više prihoda nego u 2017. godini. Radi se o mutiplikovanom efektu rasta stope oporezivanja od 60% i osnovice za oporezivanje od 6,3% u navedenom periodu. Promjene u strukturi osnovice, što se tiče komponenti koje su bile uključene u 2017., nisu imale uticaja na efekte kao u slučaju akciza, s obzirom na jedinstvenu stopu oporezivanja derivata putarinom. Izuzetak je proširenje osnovice na biogoriva i tečni naftni plin za pogon motornih vozila, koje je donijelo dodatne prihode. Pandemija virusa korona donijela je dalje turbulencije na tržište derivata nafte. Karantini i izolacije, smanjenje poslovnih i privatnih putovanja, zabrane okupljanja, međugradskog prevoza i kretanja zbog policijskog sata dovešće do bespovratnog gubitka prihoda od akciza u periodu u kojem se sprovode restrikcije. U dokumentu „Makroekonomske projekcije za 2020-2023“, (DEP, april 2020) se pominju projekcije Evropske centralne banke i Instituta za ekonomska istraživanja prema kojima se očekuju znatno niže cijene sirove nafte u 2020. godini u odnosu na 2019. godinu.</w:t>
      </w:r>
    </w:p>
    <w:p w:rsidR="00B3636B" w:rsidRDefault="00B3636B" w:rsidP="004E4AB7">
      <w:pPr>
        <w:jc w:val="both"/>
        <w:rPr>
          <w:sz w:val="24"/>
          <w:szCs w:val="24"/>
        </w:rPr>
      </w:pPr>
    </w:p>
    <w:p w:rsidR="00B3636B" w:rsidRDefault="00B3636B" w:rsidP="00B3636B">
      <w:pPr>
        <w:jc w:val="center"/>
        <w:rPr>
          <w:sz w:val="24"/>
          <w:szCs w:val="24"/>
          <w:u w:val="single"/>
        </w:rPr>
      </w:pPr>
      <w:r w:rsidRPr="00B3636B">
        <w:rPr>
          <w:sz w:val="24"/>
          <w:szCs w:val="24"/>
          <w:u w:val="single"/>
        </w:rPr>
        <w:t>Projekcije za period 2021-2023</w:t>
      </w:r>
    </w:p>
    <w:p w:rsidR="00B3636B" w:rsidRPr="00B3636B" w:rsidRDefault="00B3636B" w:rsidP="00B3636B">
      <w:pPr>
        <w:jc w:val="center"/>
        <w:rPr>
          <w:sz w:val="24"/>
          <w:szCs w:val="24"/>
          <w:u w:val="single"/>
        </w:rPr>
      </w:pPr>
    </w:p>
    <w:p w:rsidR="00B3636B" w:rsidRDefault="00B3636B" w:rsidP="004E4AB7">
      <w:pPr>
        <w:jc w:val="both"/>
        <w:rPr>
          <w:sz w:val="24"/>
          <w:szCs w:val="24"/>
        </w:rPr>
      </w:pPr>
      <w:r w:rsidRPr="00B3636B">
        <w:rPr>
          <w:sz w:val="24"/>
          <w:szCs w:val="24"/>
        </w:rPr>
        <w:t>Projektirane stope rasta prihoda za 2021., 2022., i 2023. godinu iznosе 3,3%, 3,5% i 3,7%, respektivno. Projekcija prihoda u navedenom periodu zasnovana je na projektiranim relevantnim makroekonomskim pokazateljima, istorijskoj sezonskoj shemi naplate i projekcijama pojedinih kategorija prihoda za 2020. godinu. Kao i u slučaju 2020., godine projekcije su izrađene na gotovinskoj osnovi. Pretpostavljeno je da neće biti kompenzacija obaveza za akcize i putarinu i potraživanja po osnovu PDV-a. Ukoliko ih eventualno bude to se može odraziti na odstupanja naplate od projekcija po vrstama prihoda, a ne na ukupnu naplatu indirektnih poreza.</w:t>
      </w:r>
    </w:p>
    <w:p w:rsidR="00B3636B" w:rsidRDefault="00B3636B" w:rsidP="004E4AB7">
      <w:pPr>
        <w:jc w:val="both"/>
        <w:rPr>
          <w:sz w:val="24"/>
          <w:szCs w:val="24"/>
        </w:rPr>
      </w:pPr>
      <w:r w:rsidRPr="00B3636B">
        <w:rPr>
          <w:sz w:val="24"/>
          <w:szCs w:val="24"/>
        </w:rPr>
        <w:t>Najveći generator suficita prihoda od indirektnih poreza u navedenom periodu je PDV, s obzirom na njegovo značajno učešće u prihodima, te planiranim stabilnim stopama rasta u skladu sa projekcijama kretanja potrošnje. U sve tri navedene godine prihodi od PDV-a generišu preko 58% apsolutnog godišnjeg projektiranog rasta prihoda . Prihodi od putarine ne doprinose značajno projektiranom apsolutnom rastu prihoda u periodu 2021-2023. godine, zbog iscrpljivanja efekata rasta poreznih stopa. Projekcije akciza (izuzev dijela akciza na duhan koje se naplaćuju ad valorem) i putarine bazirane su na projekcijama realnih stopa rasta odgovarajućih projekcija makroekonomskih pokazatelja, što je, još jedan od razloga, pored pada udjela potrošnje u BDP, trenda pada projektiranih iznosa prihoda u BDP-u</w:t>
      </w:r>
      <w:r>
        <w:rPr>
          <w:sz w:val="24"/>
          <w:szCs w:val="24"/>
        </w:rPr>
        <w:t>.</w:t>
      </w:r>
    </w:p>
    <w:p w:rsidR="00B3636B" w:rsidRDefault="00B3636B" w:rsidP="004E4AB7">
      <w:pPr>
        <w:jc w:val="both"/>
        <w:rPr>
          <w:sz w:val="24"/>
          <w:szCs w:val="24"/>
        </w:rPr>
      </w:pPr>
      <w:r w:rsidRPr="00B3636B">
        <w:rPr>
          <w:sz w:val="24"/>
          <w:szCs w:val="24"/>
        </w:rPr>
        <w:t>Okončanjem epidemije koronavirusa i normalizacijom stanja na granicama i unutar BiH može se očekivati stabilizacija tržišta duhanskih prerađevina, naročito u pogledu potrošnje nerezidenata, pa potom i oporavak. Ostvarenje navedenih prognoza zavisi od oporavka ekonomije, rasta zaposlenosti i dohotka, koji bi mogao uticati da se pušači koji su tokom epidemije prešli na rezani duhan ponovno vrate na potrošnju cigareta. U takvim okolnostima realno je očekivati prvo stagnaciju, a potom i opadanje tržišta rezanog duhana. S obzirom da je prijeko potrebno stabilizirati tržište očekuje se zadržavanje cijena cigareta u prosjeku. Moguće je da će zbog pozicioniranja na tržištu biti promjena cijena pojedinih brendova, pogotovo imajući u vidu potpunu neizvjesnost u vezi budućnosti domaće proizvodnje cigareta. Očekuje se da će vrijednost tržišta cigareta pratiti rast potrošnje, što bi uz zadržavanje maloprodajnih cijena na nivou iz 2020. moglo rezultirati rastom potrošnje cigareta. U navedenim okolnostima u 2021. je moguće očekivati rast prihoda od akciza od 2,9%, a u 2022. i 2023. po 3,4% . Osim makroekonomskih trendova i rasta dohotka važan faktor ostvarenja prognoziranog rasta naplate prihoda od akciza i dalje je efikasnost mjera za borbu protiv crnog tržišta.</w:t>
      </w:r>
    </w:p>
    <w:p w:rsidR="00534F9E" w:rsidRDefault="00534F9E" w:rsidP="004E4AB7">
      <w:pPr>
        <w:jc w:val="both"/>
        <w:rPr>
          <w:sz w:val="24"/>
          <w:szCs w:val="24"/>
        </w:rPr>
      </w:pPr>
    </w:p>
    <w:p w:rsidR="00534F9E" w:rsidRPr="00B3636B" w:rsidRDefault="00534F9E" w:rsidP="004E4AB7">
      <w:pPr>
        <w:jc w:val="both"/>
        <w:rPr>
          <w:b/>
          <w:bCs/>
          <w:sz w:val="24"/>
          <w:szCs w:val="24"/>
          <w:u w:val="single"/>
        </w:rPr>
      </w:pPr>
    </w:p>
    <w:p w:rsidR="00113E0B" w:rsidRDefault="00CE3CE0" w:rsidP="00887C88">
      <w:pPr>
        <w:pStyle w:val="Heading2"/>
        <w:numPr>
          <w:ilvl w:val="1"/>
          <w:numId w:val="4"/>
        </w:numPr>
        <w:rPr>
          <w:rFonts w:ascii="Times New Roman" w:hAnsi="Times New Roman"/>
          <w:color w:val="auto"/>
          <w:sz w:val="24"/>
          <w:szCs w:val="24"/>
        </w:rPr>
      </w:pPr>
      <w:bookmarkStart w:id="61" w:name="_Toc266777678"/>
      <w:bookmarkStart w:id="62" w:name="_Toc266779173"/>
      <w:bookmarkStart w:id="63" w:name="_Toc422899928"/>
      <w:r w:rsidRPr="00FF0360">
        <w:rPr>
          <w:rFonts w:ascii="Times New Roman" w:hAnsi="Times New Roman"/>
          <w:color w:val="auto"/>
          <w:sz w:val="24"/>
          <w:szCs w:val="24"/>
        </w:rPr>
        <w:t>Politika prihoda za nivo Unsko – sanskog kantona</w:t>
      </w:r>
      <w:bookmarkEnd w:id="61"/>
      <w:bookmarkEnd w:id="62"/>
      <w:bookmarkEnd w:id="63"/>
    </w:p>
    <w:p w:rsidR="00534F9E" w:rsidRDefault="00534F9E" w:rsidP="00534F9E">
      <w:pPr>
        <w:rPr>
          <w:lang w:val="en-US"/>
        </w:rPr>
      </w:pPr>
    </w:p>
    <w:p w:rsidR="00534F9E" w:rsidRPr="00FD0DDD" w:rsidRDefault="00534F9E" w:rsidP="00534F9E">
      <w:pPr>
        <w:pStyle w:val="ListParagraph"/>
        <w:ind w:left="0"/>
        <w:jc w:val="both"/>
        <w:rPr>
          <w:rFonts w:ascii="Times New Roman" w:hAnsi="Times New Roman"/>
          <w:sz w:val="24"/>
          <w:szCs w:val="24"/>
          <w:lang w:val="hr-HR"/>
        </w:rPr>
      </w:pPr>
      <w:r w:rsidRPr="00DC06D7">
        <w:rPr>
          <w:rFonts w:ascii="Times New Roman" w:hAnsi="Times New Roman"/>
          <w:b/>
          <w:sz w:val="24"/>
          <w:szCs w:val="24"/>
        </w:rPr>
        <w:t>Strukturu javnih prihoda Budžeta Unsko-sanskog kantona čine:</w:t>
      </w:r>
    </w:p>
    <w:p w:rsidR="00534F9E" w:rsidRPr="00DC06D7" w:rsidRDefault="00534F9E" w:rsidP="00887C88">
      <w:pPr>
        <w:numPr>
          <w:ilvl w:val="0"/>
          <w:numId w:val="12"/>
        </w:numPr>
        <w:rPr>
          <w:sz w:val="24"/>
          <w:szCs w:val="24"/>
        </w:rPr>
      </w:pPr>
      <w:r w:rsidRPr="00DC06D7">
        <w:rPr>
          <w:sz w:val="24"/>
          <w:szCs w:val="24"/>
        </w:rPr>
        <w:t>prihodi po osnovu indirektnih poreza,</w:t>
      </w:r>
    </w:p>
    <w:p w:rsidR="00534F9E" w:rsidRPr="00DC06D7" w:rsidRDefault="00534F9E" w:rsidP="00887C88">
      <w:pPr>
        <w:numPr>
          <w:ilvl w:val="0"/>
          <w:numId w:val="12"/>
        </w:numPr>
        <w:rPr>
          <w:sz w:val="24"/>
          <w:szCs w:val="24"/>
        </w:rPr>
      </w:pPr>
      <w:r w:rsidRPr="00DC06D7">
        <w:rPr>
          <w:sz w:val="24"/>
          <w:szCs w:val="24"/>
        </w:rPr>
        <w:t>prihodi po osnovu direktnih poreza i to</w:t>
      </w:r>
    </w:p>
    <w:p w:rsidR="00534F9E" w:rsidRPr="00DC06D7" w:rsidRDefault="00534F9E" w:rsidP="00887C88">
      <w:pPr>
        <w:numPr>
          <w:ilvl w:val="1"/>
          <w:numId w:val="12"/>
        </w:numPr>
        <w:rPr>
          <w:sz w:val="24"/>
          <w:szCs w:val="24"/>
        </w:rPr>
      </w:pPr>
      <w:r w:rsidRPr="00DC06D7">
        <w:rPr>
          <w:sz w:val="24"/>
          <w:szCs w:val="24"/>
        </w:rPr>
        <w:t>porez na dobit,</w:t>
      </w:r>
    </w:p>
    <w:p w:rsidR="00534F9E" w:rsidRPr="00DC06D7" w:rsidRDefault="00534F9E" w:rsidP="00887C88">
      <w:pPr>
        <w:numPr>
          <w:ilvl w:val="1"/>
          <w:numId w:val="12"/>
        </w:numPr>
        <w:rPr>
          <w:sz w:val="24"/>
          <w:szCs w:val="24"/>
        </w:rPr>
      </w:pPr>
      <w:r w:rsidRPr="00DC06D7">
        <w:rPr>
          <w:sz w:val="24"/>
          <w:szCs w:val="24"/>
        </w:rPr>
        <w:t>porez na dohodak</w:t>
      </w:r>
    </w:p>
    <w:p w:rsidR="00534F9E" w:rsidRPr="00DC06D7" w:rsidRDefault="00534F9E" w:rsidP="00887C88">
      <w:pPr>
        <w:numPr>
          <w:ilvl w:val="0"/>
          <w:numId w:val="13"/>
        </w:numPr>
        <w:rPr>
          <w:sz w:val="24"/>
          <w:szCs w:val="24"/>
        </w:rPr>
      </w:pPr>
      <w:r w:rsidRPr="00DC06D7">
        <w:rPr>
          <w:sz w:val="24"/>
          <w:szCs w:val="24"/>
        </w:rPr>
        <w:t>neporeznih prihoda u vidu :</w:t>
      </w:r>
    </w:p>
    <w:p w:rsidR="00534F9E" w:rsidRPr="00DC06D7" w:rsidRDefault="00534F9E" w:rsidP="00887C88">
      <w:pPr>
        <w:numPr>
          <w:ilvl w:val="1"/>
          <w:numId w:val="13"/>
        </w:numPr>
        <w:rPr>
          <w:sz w:val="24"/>
          <w:szCs w:val="24"/>
        </w:rPr>
      </w:pPr>
      <w:r w:rsidRPr="00DC06D7">
        <w:rPr>
          <w:sz w:val="24"/>
          <w:szCs w:val="24"/>
        </w:rPr>
        <w:t>prihoda od poduzetničke aktivnost i imovine</w:t>
      </w:r>
    </w:p>
    <w:p w:rsidR="00534F9E" w:rsidRPr="00DC06D7" w:rsidRDefault="00534F9E" w:rsidP="00887C88">
      <w:pPr>
        <w:numPr>
          <w:ilvl w:val="1"/>
          <w:numId w:val="13"/>
        </w:numPr>
        <w:rPr>
          <w:sz w:val="24"/>
          <w:szCs w:val="24"/>
        </w:rPr>
      </w:pPr>
      <w:r>
        <w:rPr>
          <w:sz w:val="24"/>
          <w:szCs w:val="24"/>
        </w:rPr>
        <w:t>naknade i takse</w:t>
      </w:r>
    </w:p>
    <w:p w:rsidR="00534F9E" w:rsidRPr="00DC06D7" w:rsidRDefault="00534F9E" w:rsidP="00887C88">
      <w:pPr>
        <w:numPr>
          <w:ilvl w:val="1"/>
          <w:numId w:val="13"/>
        </w:numPr>
        <w:rPr>
          <w:sz w:val="24"/>
          <w:szCs w:val="24"/>
        </w:rPr>
      </w:pPr>
      <w:r w:rsidRPr="00DC06D7">
        <w:rPr>
          <w:sz w:val="24"/>
          <w:szCs w:val="24"/>
        </w:rPr>
        <w:t>novčane kazne</w:t>
      </w:r>
    </w:p>
    <w:p w:rsidR="00534F9E" w:rsidRPr="00DC06D7" w:rsidRDefault="00534F9E" w:rsidP="00887C88">
      <w:pPr>
        <w:numPr>
          <w:ilvl w:val="1"/>
          <w:numId w:val="13"/>
        </w:numPr>
        <w:rPr>
          <w:sz w:val="24"/>
          <w:szCs w:val="24"/>
        </w:rPr>
      </w:pPr>
      <w:r w:rsidRPr="00DC06D7">
        <w:rPr>
          <w:sz w:val="24"/>
          <w:szCs w:val="24"/>
        </w:rPr>
        <w:t>posebne naknade koje se ostvaruju, prikupljaju i raspoređuju prema važećim zakonskim propisima na teritoriji Federacije Bosne i Hercegovine</w:t>
      </w:r>
    </w:p>
    <w:p w:rsidR="00534F9E" w:rsidRPr="00FD0DDD" w:rsidRDefault="00534F9E" w:rsidP="00887C88">
      <w:pPr>
        <w:numPr>
          <w:ilvl w:val="0"/>
          <w:numId w:val="13"/>
        </w:numPr>
        <w:rPr>
          <w:sz w:val="24"/>
          <w:szCs w:val="24"/>
        </w:rPr>
      </w:pPr>
      <w:r w:rsidRPr="00DC06D7">
        <w:rPr>
          <w:sz w:val="24"/>
          <w:szCs w:val="24"/>
        </w:rPr>
        <w:t>tekući i kapitalni transfer i donacije</w:t>
      </w:r>
    </w:p>
    <w:p w:rsidR="00534F9E" w:rsidRDefault="00534F9E" w:rsidP="00534F9E">
      <w:pPr>
        <w:jc w:val="both"/>
        <w:rPr>
          <w:sz w:val="24"/>
          <w:szCs w:val="24"/>
        </w:rPr>
      </w:pPr>
    </w:p>
    <w:p w:rsidR="00534F9E" w:rsidRDefault="00534F9E" w:rsidP="00534F9E">
      <w:pPr>
        <w:jc w:val="both"/>
        <w:rPr>
          <w:sz w:val="24"/>
          <w:szCs w:val="24"/>
        </w:rPr>
      </w:pPr>
      <w:r>
        <w:rPr>
          <w:sz w:val="24"/>
          <w:szCs w:val="24"/>
        </w:rPr>
        <w:t>Federalno ministarstvo finansija je izvršilo revidiranje prihoda za 2020. godinu u skladu sa novonastalom situacijom uzrokovanom pandemijom virusa COVID-19 u Bosni i Hercegovini. Vodeći se makroekonomskim pretpostavkama, značajnim usporavanjem naplate prihoda zabilježenim već u drugoj polovini marta i aprilu tekuće godine, a uzimajući u obzir stabilizacijske mjere preduzete na teritoriji Federacije BiH, zbog krajnje nepredvidivosti toka i dužine trajanja same pandemije, te njenih krajnjih posljedica na globalnu i domaću ekonomiju, projekcije prihoda su rađene sa krajnjom opreznošću i bazirane na konzervativnom pristupu.</w:t>
      </w:r>
    </w:p>
    <w:p w:rsidR="00534F9E" w:rsidRPr="00156EB3" w:rsidRDefault="00534F9E" w:rsidP="00534F9E">
      <w:pPr>
        <w:jc w:val="both"/>
        <w:rPr>
          <w:i/>
          <w:iCs/>
          <w:sz w:val="24"/>
          <w:szCs w:val="24"/>
        </w:rPr>
      </w:pPr>
      <w:r>
        <w:rPr>
          <w:sz w:val="24"/>
          <w:szCs w:val="24"/>
        </w:rPr>
        <w:t xml:space="preserve">Projekcije za srednjoročni period 2021-2023. godina prate pretpostavku o postepenom oporavku ekonomije i pozitivnim kretanjima kljućnih makroekonomskih parametara, </w:t>
      </w:r>
      <w:bookmarkStart w:id="64" w:name="_Hlk41395551"/>
      <w:r>
        <w:rPr>
          <w:sz w:val="24"/>
          <w:szCs w:val="24"/>
        </w:rPr>
        <w:t xml:space="preserve">ali je njihov nivo, zbog osabljene baze u 2020. godini </w:t>
      </w:r>
      <w:r w:rsidRPr="00156EB3">
        <w:rPr>
          <w:i/>
          <w:iCs/>
          <w:sz w:val="24"/>
          <w:szCs w:val="24"/>
        </w:rPr>
        <w:t>znatno skromniji u odnosu na visok historijski trend bilježen kontinuirano u zadnjih nekoliko godina.</w:t>
      </w:r>
    </w:p>
    <w:bookmarkEnd w:id="64"/>
    <w:p w:rsidR="00534F9E" w:rsidRDefault="00534F9E" w:rsidP="00534F9E">
      <w:pPr>
        <w:jc w:val="both"/>
        <w:rPr>
          <w:sz w:val="24"/>
          <w:szCs w:val="24"/>
        </w:rPr>
      </w:pPr>
      <w:r>
        <w:rPr>
          <w:sz w:val="24"/>
          <w:szCs w:val="24"/>
        </w:rPr>
        <w:t>Rizici za ostvarenje projeciranih prihoda su izuzetno visoki prvenstveno zbog krajnje nepredvidivosti trajanja pandemije, kao i jačine šokova koje će ostaviti na ekonomiju. Kako je rijeć o globalnom problemu, čije negativne posljedice nisu zaobišle niti jednu ekonomiju svijeta, dodatno usporavanje ili oporavak u BiH velikim dijelom zavisi i od dešavanja na globalnom nivou, posebno o dešavanjima u zemljama najvećim ekonomskim partnerima naše zemlje. Na domaćem prostoru zavisno od razvoja situacije planira se i etapno donošenje novih mjera unutar fiskalne politike.</w:t>
      </w:r>
    </w:p>
    <w:p w:rsidR="00534F9E" w:rsidRPr="00534F9E" w:rsidRDefault="00534F9E" w:rsidP="00534F9E">
      <w:pPr>
        <w:pStyle w:val="Heading2"/>
        <w:rPr>
          <w:rFonts w:ascii="Times New Roman" w:hAnsi="Times New Roman"/>
          <w:color w:val="auto"/>
        </w:rPr>
      </w:pPr>
      <w:bookmarkStart w:id="65" w:name="_Toc9858437"/>
      <w:r w:rsidRPr="00534F9E">
        <w:rPr>
          <w:rFonts w:ascii="Times New Roman" w:hAnsi="Times New Roman"/>
          <w:color w:val="auto"/>
        </w:rPr>
        <w:t>Prihodi od indirektnih poreza</w:t>
      </w:r>
      <w:bookmarkEnd w:id="65"/>
      <w:r w:rsidRPr="00534F9E">
        <w:rPr>
          <w:rFonts w:ascii="Times New Roman" w:hAnsi="Times New Roman"/>
          <w:color w:val="auto"/>
        </w:rPr>
        <w:t xml:space="preserve"> </w:t>
      </w:r>
    </w:p>
    <w:p w:rsidR="00534F9E" w:rsidRPr="00DD49C8" w:rsidRDefault="00534F9E" w:rsidP="00534F9E">
      <w:pPr>
        <w:pStyle w:val="BodyText2"/>
        <w:ind w:left="360"/>
        <w:rPr>
          <w:sz w:val="28"/>
          <w:szCs w:val="28"/>
        </w:rPr>
      </w:pPr>
    </w:p>
    <w:p w:rsidR="00534F9E" w:rsidRDefault="00534F9E" w:rsidP="00534F9E">
      <w:pPr>
        <w:ind w:firstLine="708"/>
        <w:jc w:val="both"/>
        <w:rPr>
          <w:sz w:val="24"/>
          <w:szCs w:val="24"/>
        </w:rPr>
      </w:pPr>
      <w:r w:rsidRPr="00DC06D7">
        <w:rPr>
          <w:sz w:val="24"/>
          <w:szCs w:val="24"/>
        </w:rPr>
        <w:t xml:space="preserve">Kriteriji i procentualni odnosi raspodjele javnih prihoda unutar Federacije Bosne i Hercegovine su određeni Zakonom o pripadnosti javnih prihoda u Federaciji BIH („Službene novine Federacije BiH”, br. 22/06, 43/08, 22/09, 35/14 i 94/15). </w:t>
      </w:r>
    </w:p>
    <w:p w:rsidR="00534F9E" w:rsidRDefault="00534F9E" w:rsidP="00534F9E">
      <w:pPr>
        <w:ind w:firstLine="708"/>
        <w:jc w:val="both"/>
        <w:rPr>
          <w:b/>
          <w:bCs/>
          <w:color w:val="000000"/>
          <w:lang w:val="bs-Latn-BA" w:eastAsia="bs-Latn-BA"/>
        </w:rPr>
      </w:pPr>
      <w:r w:rsidRPr="00DC06D7">
        <w:rPr>
          <w:sz w:val="24"/>
          <w:szCs w:val="24"/>
        </w:rPr>
        <w:t>Projekcije prihoda od indirektnih poreza za korisnike u Federaciji Bosne i Hercegovine rađene su prema utvrđenim koeficijentima raspodjele iz Upustva o određivanju učešća kantona, jedinica lokalne samouprave i nadležnih  kantonalnih ustanova za ceste u prihodima od indirektnih poreza i načina raspoređivanja tih prihoda</w:t>
      </w:r>
      <w:r>
        <w:rPr>
          <w:sz w:val="24"/>
          <w:szCs w:val="24"/>
        </w:rPr>
        <w:t xml:space="preserve"> </w:t>
      </w:r>
      <w:r w:rsidRPr="00DC06D7">
        <w:rPr>
          <w:sz w:val="24"/>
          <w:szCs w:val="24"/>
        </w:rPr>
        <w:t>za 20</w:t>
      </w:r>
      <w:r>
        <w:rPr>
          <w:sz w:val="24"/>
          <w:szCs w:val="24"/>
        </w:rPr>
        <w:t>20</w:t>
      </w:r>
      <w:r w:rsidRPr="00DC06D7">
        <w:rPr>
          <w:sz w:val="24"/>
          <w:szCs w:val="24"/>
        </w:rPr>
        <w:t xml:space="preserve">.godinu objavljenog u  </w:t>
      </w:r>
      <w:r>
        <w:rPr>
          <w:sz w:val="24"/>
          <w:szCs w:val="24"/>
        </w:rPr>
        <w:t>(</w:t>
      </w:r>
      <w:r w:rsidRPr="00DC06D7">
        <w:rPr>
          <w:sz w:val="24"/>
          <w:szCs w:val="24"/>
        </w:rPr>
        <w:t>„Službenim novinama Federacije BiH“ br</w:t>
      </w:r>
      <w:r>
        <w:rPr>
          <w:sz w:val="24"/>
          <w:szCs w:val="24"/>
        </w:rPr>
        <w:t>oj: 84/19)</w:t>
      </w:r>
      <w:r w:rsidRPr="00DC06D7">
        <w:rPr>
          <w:sz w:val="24"/>
          <w:szCs w:val="24"/>
        </w:rPr>
        <w:t>.</w:t>
      </w:r>
    </w:p>
    <w:p w:rsidR="00534F9E" w:rsidRDefault="00534F9E" w:rsidP="00534F9E">
      <w:pPr>
        <w:pStyle w:val="BodyText2"/>
        <w:rPr>
          <w:i/>
        </w:rPr>
      </w:pPr>
      <w:r w:rsidRPr="00BF2CE0">
        <w:rPr>
          <w:bCs w:val="0"/>
          <w:i/>
          <w:color w:val="000000"/>
          <w:lang w:val="bs-Latn-BA" w:eastAsia="bs-Latn-BA"/>
        </w:rPr>
        <w:t>Tako je utvrđeno učešće</w:t>
      </w:r>
      <w:r w:rsidRPr="00BF2CE0">
        <w:rPr>
          <w:b/>
          <w:bCs w:val="0"/>
          <w:i/>
          <w:color w:val="000000"/>
          <w:lang w:val="bs-Latn-BA" w:eastAsia="bs-Latn-BA"/>
        </w:rPr>
        <w:t xml:space="preserve"> </w:t>
      </w:r>
      <w:r w:rsidRPr="00BF2CE0">
        <w:rPr>
          <w:i/>
        </w:rPr>
        <w:t>Unsko-sanskog kantona u raspodjeli dijela koji pripada kantonima za 20</w:t>
      </w:r>
      <w:r>
        <w:rPr>
          <w:i/>
        </w:rPr>
        <w:t>20</w:t>
      </w:r>
      <w:r w:rsidRPr="00BF2CE0">
        <w:rPr>
          <w:i/>
        </w:rPr>
        <w:t>. godinu u iznosu od 10,</w:t>
      </w:r>
      <w:r>
        <w:rPr>
          <w:i/>
        </w:rPr>
        <w:t>117</w:t>
      </w:r>
      <w:r w:rsidRPr="00BF2CE0">
        <w:rPr>
          <w:i/>
        </w:rPr>
        <w:t>%.</w:t>
      </w:r>
    </w:p>
    <w:p w:rsidR="00534F9E" w:rsidRPr="008B7F3E" w:rsidRDefault="00534F9E" w:rsidP="00534F9E">
      <w:pPr>
        <w:pStyle w:val="BodyText2"/>
        <w:rPr>
          <w:i/>
        </w:rPr>
      </w:pPr>
    </w:p>
    <w:p w:rsidR="00534F9E" w:rsidRDefault="00534F9E" w:rsidP="00534F9E">
      <w:pPr>
        <w:pStyle w:val="BodyText2"/>
        <w:ind w:left="360"/>
        <w:rPr>
          <w:b/>
          <w:bCs w:val="0"/>
          <w:color w:val="000000"/>
          <w:sz w:val="20"/>
          <w:lang w:val="bs-Latn-BA" w:eastAsia="bs-Latn-BA"/>
        </w:rPr>
      </w:pPr>
    </w:p>
    <w:p w:rsidR="00534F9E" w:rsidRDefault="00534F9E" w:rsidP="00534F9E">
      <w:pPr>
        <w:pStyle w:val="BodyText2"/>
        <w:ind w:left="360"/>
        <w:rPr>
          <w:b/>
          <w:bCs w:val="0"/>
          <w:color w:val="000000"/>
          <w:sz w:val="20"/>
          <w:lang w:val="bs-Latn-BA" w:eastAsia="bs-Latn-BA"/>
        </w:rPr>
      </w:pPr>
      <w:r>
        <w:rPr>
          <w:b/>
          <w:bCs w:val="0"/>
          <w:color w:val="000000"/>
          <w:sz w:val="20"/>
          <w:lang w:val="bs-Latn-BA" w:eastAsia="bs-Latn-BA"/>
        </w:rPr>
        <w:t>Tabela :</w:t>
      </w:r>
      <w:r w:rsidRPr="001B6EA4">
        <w:rPr>
          <w:b/>
          <w:bCs w:val="0"/>
          <w:color w:val="000000"/>
          <w:sz w:val="20"/>
          <w:lang w:val="bs-Latn-BA" w:eastAsia="bs-Latn-BA"/>
        </w:rPr>
        <w:t xml:space="preserve"> Revidirane projekcije za 20</w:t>
      </w:r>
      <w:r>
        <w:rPr>
          <w:b/>
          <w:bCs w:val="0"/>
          <w:color w:val="000000"/>
          <w:sz w:val="20"/>
          <w:lang w:val="bs-Latn-BA" w:eastAsia="bs-Latn-BA"/>
        </w:rPr>
        <w:t>20</w:t>
      </w:r>
      <w:r w:rsidRPr="001B6EA4">
        <w:rPr>
          <w:b/>
          <w:bCs w:val="0"/>
          <w:color w:val="000000"/>
          <w:sz w:val="20"/>
          <w:lang w:val="bs-Latn-BA" w:eastAsia="bs-Latn-BA"/>
        </w:rPr>
        <w:t>.g.</w:t>
      </w:r>
      <w:r>
        <w:rPr>
          <w:b/>
          <w:bCs w:val="0"/>
          <w:color w:val="000000"/>
          <w:sz w:val="20"/>
          <w:lang w:val="bs-Latn-BA" w:eastAsia="bs-Latn-BA"/>
        </w:rPr>
        <w:t xml:space="preserve"> </w:t>
      </w:r>
      <w:r w:rsidRPr="001B6EA4">
        <w:rPr>
          <w:b/>
          <w:bCs w:val="0"/>
          <w:color w:val="000000"/>
          <w:sz w:val="20"/>
          <w:lang w:val="bs-Latn-BA" w:eastAsia="bs-Latn-BA"/>
        </w:rPr>
        <w:t>i projekcije prihoda za period 20</w:t>
      </w:r>
      <w:r>
        <w:rPr>
          <w:b/>
          <w:bCs w:val="0"/>
          <w:color w:val="000000"/>
          <w:sz w:val="20"/>
          <w:lang w:val="bs-Latn-BA" w:eastAsia="bs-Latn-BA"/>
        </w:rPr>
        <w:t xml:space="preserve">21 </w:t>
      </w:r>
      <w:r w:rsidRPr="001B6EA4">
        <w:rPr>
          <w:b/>
          <w:bCs w:val="0"/>
          <w:color w:val="000000"/>
          <w:sz w:val="20"/>
          <w:lang w:val="bs-Latn-BA" w:eastAsia="bs-Latn-BA"/>
        </w:rPr>
        <w:t>-20</w:t>
      </w:r>
      <w:r>
        <w:rPr>
          <w:b/>
          <w:bCs w:val="0"/>
          <w:color w:val="000000"/>
          <w:sz w:val="20"/>
          <w:lang w:val="bs-Latn-BA" w:eastAsia="bs-Latn-BA"/>
        </w:rPr>
        <w:t>23.</w:t>
      </w:r>
      <w:r w:rsidRPr="001B6EA4">
        <w:rPr>
          <w:b/>
          <w:bCs w:val="0"/>
          <w:color w:val="000000"/>
          <w:sz w:val="20"/>
          <w:lang w:val="bs-Latn-BA" w:eastAsia="bs-Latn-BA"/>
        </w:rPr>
        <w:t xml:space="preserve"> godina</w:t>
      </w:r>
    </w:p>
    <w:p w:rsidR="00534F9E" w:rsidRPr="001B6EA4" w:rsidRDefault="00534F9E" w:rsidP="00534F9E">
      <w:pPr>
        <w:pStyle w:val="BodyText2"/>
        <w:ind w:left="360"/>
        <w:rPr>
          <w:sz w:val="32"/>
          <w:szCs w:val="24"/>
        </w:rPr>
      </w:pPr>
    </w:p>
    <w:tbl>
      <w:tblPr>
        <w:tblW w:w="9738" w:type="dxa"/>
        <w:tblInd w:w="-113" w:type="dxa"/>
        <w:tblLook w:val="04A0"/>
      </w:tblPr>
      <w:tblGrid>
        <w:gridCol w:w="2548"/>
        <w:gridCol w:w="1438"/>
        <w:gridCol w:w="1438"/>
        <w:gridCol w:w="1438"/>
        <w:gridCol w:w="1438"/>
        <w:gridCol w:w="1438"/>
      </w:tblGrid>
      <w:tr w:rsidR="00534F9E" w:rsidRPr="00395F22" w:rsidTr="00F47CDB">
        <w:trPr>
          <w:trHeight w:val="226"/>
        </w:trPr>
        <w:tc>
          <w:tcPr>
            <w:tcW w:w="254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534F9E" w:rsidRPr="00FD0DDD" w:rsidRDefault="00534F9E" w:rsidP="00F47CDB">
            <w:pPr>
              <w:rPr>
                <w:b/>
                <w:bCs/>
                <w:sz w:val="18"/>
              </w:rPr>
            </w:pPr>
            <w:r w:rsidRPr="00FD0DDD">
              <w:rPr>
                <w:b/>
                <w:bCs/>
                <w:sz w:val="18"/>
              </w:rPr>
              <w:t> </w:t>
            </w:r>
          </w:p>
        </w:tc>
        <w:tc>
          <w:tcPr>
            <w:tcW w:w="1438" w:type="dxa"/>
            <w:tcBorders>
              <w:top w:val="single" w:sz="4" w:space="0" w:color="auto"/>
              <w:left w:val="nil"/>
              <w:bottom w:val="single" w:sz="4" w:space="0" w:color="auto"/>
              <w:right w:val="single" w:sz="4" w:space="0" w:color="auto"/>
            </w:tcBorders>
            <w:shd w:val="clear" w:color="auto" w:fill="BFBFBF"/>
            <w:noWrap/>
            <w:vAlign w:val="bottom"/>
            <w:hideMark/>
          </w:tcPr>
          <w:p w:rsidR="00534F9E" w:rsidRPr="00FD0DDD" w:rsidRDefault="00534F9E" w:rsidP="00F47CDB">
            <w:pPr>
              <w:jc w:val="center"/>
              <w:rPr>
                <w:b/>
                <w:bCs/>
                <w:sz w:val="18"/>
              </w:rPr>
            </w:pPr>
            <w:r w:rsidRPr="00FD0DDD">
              <w:rPr>
                <w:b/>
                <w:bCs/>
                <w:sz w:val="18"/>
              </w:rPr>
              <w:t>Izvršenje 201</w:t>
            </w:r>
            <w:r>
              <w:rPr>
                <w:b/>
                <w:bCs/>
                <w:sz w:val="18"/>
              </w:rPr>
              <w:t>9</w:t>
            </w:r>
          </w:p>
        </w:tc>
        <w:tc>
          <w:tcPr>
            <w:tcW w:w="1438" w:type="dxa"/>
            <w:tcBorders>
              <w:top w:val="single" w:sz="4" w:space="0" w:color="auto"/>
              <w:left w:val="nil"/>
              <w:bottom w:val="single" w:sz="4" w:space="0" w:color="auto"/>
              <w:right w:val="single" w:sz="4" w:space="0" w:color="auto"/>
            </w:tcBorders>
            <w:shd w:val="clear" w:color="auto" w:fill="BFBFBF"/>
            <w:noWrap/>
            <w:vAlign w:val="bottom"/>
            <w:hideMark/>
          </w:tcPr>
          <w:p w:rsidR="00534F9E" w:rsidRPr="00FD0DDD" w:rsidRDefault="00534F9E" w:rsidP="00F47CDB">
            <w:pPr>
              <w:jc w:val="center"/>
              <w:rPr>
                <w:b/>
                <w:bCs/>
                <w:sz w:val="18"/>
              </w:rPr>
            </w:pPr>
            <w:r w:rsidRPr="00FD0DDD">
              <w:rPr>
                <w:b/>
                <w:bCs/>
                <w:sz w:val="18"/>
              </w:rPr>
              <w:t>20</w:t>
            </w:r>
            <w:r>
              <w:rPr>
                <w:b/>
                <w:bCs/>
                <w:sz w:val="18"/>
              </w:rPr>
              <w:t>20</w:t>
            </w:r>
          </w:p>
        </w:tc>
        <w:tc>
          <w:tcPr>
            <w:tcW w:w="1438" w:type="dxa"/>
            <w:tcBorders>
              <w:top w:val="single" w:sz="4" w:space="0" w:color="auto"/>
              <w:left w:val="nil"/>
              <w:bottom w:val="single" w:sz="4" w:space="0" w:color="auto"/>
              <w:right w:val="single" w:sz="4" w:space="0" w:color="auto"/>
            </w:tcBorders>
            <w:shd w:val="clear" w:color="000000" w:fill="C0C0C0"/>
            <w:noWrap/>
            <w:vAlign w:val="bottom"/>
            <w:hideMark/>
          </w:tcPr>
          <w:p w:rsidR="00534F9E" w:rsidRPr="00FD0DDD" w:rsidRDefault="00534F9E" w:rsidP="00F47CDB">
            <w:pPr>
              <w:jc w:val="center"/>
              <w:rPr>
                <w:b/>
                <w:bCs/>
                <w:sz w:val="18"/>
              </w:rPr>
            </w:pPr>
            <w:r w:rsidRPr="00FD0DDD">
              <w:rPr>
                <w:b/>
                <w:bCs/>
                <w:sz w:val="18"/>
              </w:rPr>
              <w:t>202</w:t>
            </w:r>
            <w:r>
              <w:rPr>
                <w:b/>
                <w:bCs/>
                <w:sz w:val="18"/>
              </w:rPr>
              <w:t>1</w:t>
            </w:r>
          </w:p>
        </w:tc>
        <w:tc>
          <w:tcPr>
            <w:tcW w:w="1438" w:type="dxa"/>
            <w:tcBorders>
              <w:top w:val="single" w:sz="4" w:space="0" w:color="auto"/>
              <w:left w:val="nil"/>
              <w:bottom w:val="single" w:sz="4" w:space="0" w:color="auto"/>
              <w:right w:val="single" w:sz="4" w:space="0" w:color="auto"/>
            </w:tcBorders>
            <w:shd w:val="clear" w:color="000000" w:fill="C0C0C0"/>
            <w:noWrap/>
            <w:vAlign w:val="bottom"/>
            <w:hideMark/>
          </w:tcPr>
          <w:p w:rsidR="00534F9E" w:rsidRPr="00FD0DDD" w:rsidRDefault="00534F9E" w:rsidP="00F47CDB">
            <w:pPr>
              <w:jc w:val="center"/>
              <w:rPr>
                <w:b/>
                <w:bCs/>
                <w:sz w:val="18"/>
              </w:rPr>
            </w:pPr>
            <w:r w:rsidRPr="00FD0DDD">
              <w:rPr>
                <w:b/>
                <w:bCs/>
                <w:sz w:val="18"/>
              </w:rPr>
              <w:t>202</w:t>
            </w:r>
            <w:r>
              <w:rPr>
                <w:b/>
                <w:bCs/>
                <w:sz w:val="18"/>
              </w:rPr>
              <w:t>2</w:t>
            </w:r>
          </w:p>
        </w:tc>
        <w:tc>
          <w:tcPr>
            <w:tcW w:w="1438" w:type="dxa"/>
            <w:tcBorders>
              <w:top w:val="single" w:sz="4" w:space="0" w:color="auto"/>
              <w:left w:val="nil"/>
              <w:bottom w:val="single" w:sz="4" w:space="0" w:color="auto"/>
              <w:right w:val="single" w:sz="4" w:space="0" w:color="auto"/>
            </w:tcBorders>
            <w:shd w:val="clear" w:color="000000" w:fill="C0C0C0"/>
            <w:noWrap/>
            <w:vAlign w:val="bottom"/>
            <w:hideMark/>
          </w:tcPr>
          <w:p w:rsidR="00534F9E" w:rsidRPr="00FD0DDD" w:rsidRDefault="00534F9E" w:rsidP="00F47CDB">
            <w:pPr>
              <w:jc w:val="center"/>
              <w:rPr>
                <w:b/>
                <w:bCs/>
                <w:sz w:val="18"/>
              </w:rPr>
            </w:pPr>
            <w:r w:rsidRPr="00FD0DDD">
              <w:rPr>
                <w:b/>
                <w:bCs/>
                <w:sz w:val="18"/>
              </w:rPr>
              <w:t>202</w:t>
            </w:r>
            <w:r>
              <w:rPr>
                <w:b/>
                <w:bCs/>
                <w:sz w:val="18"/>
              </w:rPr>
              <w:t>3</w:t>
            </w:r>
          </w:p>
        </w:tc>
      </w:tr>
      <w:tr w:rsidR="00534F9E" w:rsidRPr="00395F22" w:rsidTr="00F47CDB">
        <w:trPr>
          <w:trHeight w:val="226"/>
        </w:trPr>
        <w:tc>
          <w:tcPr>
            <w:tcW w:w="2548" w:type="dxa"/>
            <w:tcBorders>
              <w:top w:val="nil"/>
              <w:left w:val="single" w:sz="4" w:space="0" w:color="auto"/>
              <w:bottom w:val="single" w:sz="4" w:space="0" w:color="auto"/>
              <w:right w:val="single" w:sz="4" w:space="0" w:color="auto"/>
            </w:tcBorders>
            <w:shd w:val="clear" w:color="000000" w:fill="C0C0C0"/>
            <w:noWrap/>
            <w:vAlign w:val="bottom"/>
            <w:hideMark/>
          </w:tcPr>
          <w:p w:rsidR="00534F9E" w:rsidRPr="00FD0DDD" w:rsidRDefault="00534F9E" w:rsidP="00F47CDB">
            <w:pPr>
              <w:rPr>
                <w:b/>
                <w:bCs/>
                <w:sz w:val="18"/>
              </w:rPr>
            </w:pPr>
            <w:r w:rsidRPr="00FD0DDD">
              <w:rPr>
                <w:b/>
                <w:bCs/>
                <w:sz w:val="18"/>
              </w:rPr>
              <w:t>Unsko Sanski kanton</w:t>
            </w:r>
          </w:p>
        </w:tc>
        <w:tc>
          <w:tcPr>
            <w:tcW w:w="1438" w:type="dxa"/>
            <w:tcBorders>
              <w:top w:val="single" w:sz="4" w:space="0" w:color="auto"/>
              <w:left w:val="nil"/>
              <w:bottom w:val="single" w:sz="4" w:space="0" w:color="auto"/>
              <w:right w:val="single" w:sz="4" w:space="0" w:color="auto"/>
            </w:tcBorders>
            <w:shd w:val="clear" w:color="auto" w:fill="BFBFBF"/>
            <w:noWrap/>
            <w:vAlign w:val="bottom"/>
            <w:hideMark/>
          </w:tcPr>
          <w:p w:rsidR="00534F9E" w:rsidRPr="00FD0DDD" w:rsidRDefault="00534F9E" w:rsidP="00F47CDB">
            <w:pPr>
              <w:jc w:val="right"/>
              <w:rPr>
                <w:b/>
                <w:bCs/>
                <w:sz w:val="18"/>
              </w:rPr>
            </w:pPr>
            <w:r>
              <w:rPr>
                <w:b/>
                <w:bCs/>
                <w:sz w:val="18"/>
              </w:rPr>
              <w:t>186.624.414</w:t>
            </w:r>
          </w:p>
        </w:tc>
        <w:tc>
          <w:tcPr>
            <w:tcW w:w="1438" w:type="dxa"/>
            <w:tcBorders>
              <w:top w:val="single" w:sz="4" w:space="0" w:color="auto"/>
              <w:left w:val="nil"/>
              <w:bottom w:val="single" w:sz="4" w:space="0" w:color="auto"/>
              <w:right w:val="single" w:sz="4" w:space="0" w:color="auto"/>
            </w:tcBorders>
            <w:shd w:val="clear" w:color="auto" w:fill="BFBFBF"/>
            <w:noWrap/>
            <w:vAlign w:val="bottom"/>
            <w:hideMark/>
          </w:tcPr>
          <w:p w:rsidR="00534F9E" w:rsidRPr="00FD0DDD" w:rsidRDefault="00534F9E" w:rsidP="00F47CDB">
            <w:pPr>
              <w:jc w:val="right"/>
              <w:rPr>
                <w:b/>
                <w:bCs/>
                <w:sz w:val="18"/>
              </w:rPr>
            </w:pPr>
            <w:r>
              <w:rPr>
                <w:b/>
                <w:bCs/>
                <w:sz w:val="18"/>
              </w:rPr>
              <w:t>156.880.352</w:t>
            </w:r>
          </w:p>
        </w:tc>
        <w:tc>
          <w:tcPr>
            <w:tcW w:w="1438" w:type="dxa"/>
            <w:tcBorders>
              <w:top w:val="nil"/>
              <w:left w:val="nil"/>
              <w:bottom w:val="single" w:sz="4" w:space="0" w:color="auto"/>
              <w:right w:val="single" w:sz="4" w:space="0" w:color="auto"/>
            </w:tcBorders>
            <w:shd w:val="clear" w:color="000000" w:fill="C0C0C0"/>
            <w:noWrap/>
            <w:vAlign w:val="bottom"/>
            <w:hideMark/>
          </w:tcPr>
          <w:p w:rsidR="00534F9E" w:rsidRPr="00FD0DDD" w:rsidRDefault="00534F9E" w:rsidP="00F47CDB">
            <w:pPr>
              <w:jc w:val="right"/>
              <w:rPr>
                <w:b/>
                <w:bCs/>
                <w:sz w:val="18"/>
              </w:rPr>
            </w:pPr>
            <w:r>
              <w:rPr>
                <w:b/>
                <w:bCs/>
                <w:sz w:val="18"/>
              </w:rPr>
              <w:t>163.781.868</w:t>
            </w:r>
          </w:p>
        </w:tc>
        <w:tc>
          <w:tcPr>
            <w:tcW w:w="1438" w:type="dxa"/>
            <w:tcBorders>
              <w:top w:val="nil"/>
              <w:left w:val="nil"/>
              <w:bottom w:val="single" w:sz="4" w:space="0" w:color="auto"/>
              <w:right w:val="single" w:sz="4" w:space="0" w:color="auto"/>
            </w:tcBorders>
            <w:shd w:val="clear" w:color="000000" w:fill="C0C0C0"/>
            <w:noWrap/>
            <w:vAlign w:val="bottom"/>
            <w:hideMark/>
          </w:tcPr>
          <w:p w:rsidR="00534F9E" w:rsidRPr="00FD0DDD" w:rsidRDefault="00534F9E" w:rsidP="00F47CDB">
            <w:pPr>
              <w:jc w:val="right"/>
              <w:rPr>
                <w:b/>
                <w:bCs/>
                <w:sz w:val="18"/>
              </w:rPr>
            </w:pPr>
            <w:r>
              <w:rPr>
                <w:b/>
                <w:bCs/>
                <w:sz w:val="18"/>
              </w:rPr>
              <w:t>173.329.525</w:t>
            </w:r>
          </w:p>
        </w:tc>
        <w:tc>
          <w:tcPr>
            <w:tcW w:w="1438" w:type="dxa"/>
            <w:tcBorders>
              <w:top w:val="nil"/>
              <w:left w:val="nil"/>
              <w:bottom w:val="single" w:sz="4" w:space="0" w:color="auto"/>
              <w:right w:val="single" w:sz="4" w:space="0" w:color="auto"/>
            </w:tcBorders>
            <w:shd w:val="clear" w:color="000000" w:fill="C0C0C0"/>
            <w:noWrap/>
            <w:vAlign w:val="bottom"/>
            <w:hideMark/>
          </w:tcPr>
          <w:p w:rsidR="00534F9E" w:rsidRPr="00FD0DDD" w:rsidRDefault="00534F9E" w:rsidP="00F47CDB">
            <w:pPr>
              <w:jc w:val="right"/>
              <w:rPr>
                <w:b/>
                <w:bCs/>
                <w:sz w:val="18"/>
              </w:rPr>
            </w:pPr>
            <w:r>
              <w:rPr>
                <w:b/>
                <w:bCs/>
                <w:sz w:val="18"/>
              </w:rPr>
              <w:t>175.484.529</w:t>
            </w:r>
          </w:p>
        </w:tc>
      </w:tr>
      <w:tr w:rsidR="00534F9E" w:rsidRPr="00395F22" w:rsidTr="00F47CDB">
        <w:trPr>
          <w:trHeight w:val="268"/>
        </w:trPr>
        <w:tc>
          <w:tcPr>
            <w:tcW w:w="2548" w:type="dxa"/>
            <w:tcBorders>
              <w:top w:val="nil"/>
              <w:left w:val="single" w:sz="4" w:space="0" w:color="auto"/>
              <w:bottom w:val="single" w:sz="4" w:space="0" w:color="auto"/>
              <w:right w:val="single" w:sz="4" w:space="0" w:color="auto"/>
            </w:tcBorders>
            <w:shd w:val="clear" w:color="auto" w:fill="auto"/>
            <w:noWrap/>
            <w:vAlign w:val="bottom"/>
            <w:hideMark/>
          </w:tcPr>
          <w:p w:rsidR="00534F9E" w:rsidRPr="00FD0DDD" w:rsidRDefault="00534F9E" w:rsidP="00F47CDB">
            <w:pPr>
              <w:rPr>
                <w:b/>
                <w:bCs/>
                <w:sz w:val="18"/>
              </w:rPr>
            </w:pPr>
            <w:r w:rsidRPr="00FD0DDD">
              <w:rPr>
                <w:b/>
                <w:bCs/>
                <w:sz w:val="18"/>
              </w:rPr>
              <w:t>Kanton</w:t>
            </w:r>
          </w:p>
        </w:tc>
        <w:tc>
          <w:tcPr>
            <w:tcW w:w="1438" w:type="dxa"/>
            <w:tcBorders>
              <w:top w:val="nil"/>
              <w:left w:val="nil"/>
              <w:bottom w:val="single" w:sz="4" w:space="0" w:color="auto"/>
              <w:right w:val="single" w:sz="4" w:space="0" w:color="auto"/>
            </w:tcBorders>
            <w:shd w:val="clear" w:color="auto" w:fill="auto"/>
            <w:noWrap/>
            <w:vAlign w:val="bottom"/>
            <w:hideMark/>
          </w:tcPr>
          <w:p w:rsidR="00534F9E" w:rsidRPr="00FD0DDD" w:rsidRDefault="00534F9E" w:rsidP="00F47CDB">
            <w:pPr>
              <w:jc w:val="right"/>
              <w:rPr>
                <w:b/>
                <w:bCs/>
                <w:sz w:val="18"/>
              </w:rPr>
            </w:pPr>
            <w:r>
              <w:rPr>
                <w:b/>
                <w:bCs/>
                <w:sz w:val="18"/>
              </w:rPr>
              <w:t>155.515.07</w:t>
            </w:r>
          </w:p>
        </w:tc>
        <w:tc>
          <w:tcPr>
            <w:tcW w:w="1438" w:type="dxa"/>
            <w:tcBorders>
              <w:top w:val="nil"/>
              <w:left w:val="nil"/>
              <w:bottom w:val="single" w:sz="4" w:space="0" w:color="auto"/>
              <w:right w:val="single" w:sz="4" w:space="0" w:color="auto"/>
            </w:tcBorders>
            <w:shd w:val="clear" w:color="auto" w:fill="auto"/>
            <w:noWrap/>
            <w:vAlign w:val="bottom"/>
            <w:hideMark/>
          </w:tcPr>
          <w:p w:rsidR="00534F9E" w:rsidRPr="00FD0DDD" w:rsidRDefault="00534F9E" w:rsidP="00F47CDB">
            <w:pPr>
              <w:jc w:val="right"/>
              <w:rPr>
                <w:b/>
                <w:bCs/>
                <w:sz w:val="18"/>
              </w:rPr>
            </w:pPr>
            <w:r>
              <w:rPr>
                <w:b/>
                <w:bCs/>
                <w:sz w:val="18"/>
              </w:rPr>
              <w:t>130.537.500</w:t>
            </w:r>
          </w:p>
        </w:tc>
        <w:tc>
          <w:tcPr>
            <w:tcW w:w="1438" w:type="dxa"/>
            <w:tcBorders>
              <w:top w:val="nil"/>
              <w:left w:val="nil"/>
              <w:bottom w:val="single" w:sz="4" w:space="0" w:color="auto"/>
              <w:right w:val="single" w:sz="4" w:space="0" w:color="auto"/>
            </w:tcBorders>
            <w:shd w:val="clear" w:color="auto" w:fill="auto"/>
            <w:noWrap/>
            <w:vAlign w:val="bottom"/>
            <w:hideMark/>
          </w:tcPr>
          <w:p w:rsidR="00534F9E" w:rsidRPr="00FD0DDD" w:rsidRDefault="00534F9E" w:rsidP="00F47CDB">
            <w:pPr>
              <w:jc w:val="right"/>
              <w:rPr>
                <w:b/>
                <w:bCs/>
                <w:sz w:val="18"/>
              </w:rPr>
            </w:pPr>
            <w:r>
              <w:rPr>
                <w:b/>
                <w:bCs/>
                <w:sz w:val="18"/>
              </w:rPr>
              <w:t>136.280.135</w:t>
            </w:r>
          </w:p>
        </w:tc>
        <w:tc>
          <w:tcPr>
            <w:tcW w:w="1438" w:type="dxa"/>
            <w:tcBorders>
              <w:top w:val="nil"/>
              <w:left w:val="nil"/>
              <w:bottom w:val="single" w:sz="4" w:space="0" w:color="auto"/>
              <w:right w:val="single" w:sz="4" w:space="0" w:color="auto"/>
            </w:tcBorders>
            <w:shd w:val="clear" w:color="auto" w:fill="auto"/>
            <w:noWrap/>
            <w:vAlign w:val="bottom"/>
            <w:hideMark/>
          </w:tcPr>
          <w:p w:rsidR="00534F9E" w:rsidRPr="00FD0DDD" w:rsidRDefault="00534F9E" w:rsidP="00F47CDB">
            <w:pPr>
              <w:jc w:val="right"/>
              <w:rPr>
                <w:b/>
                <w:bCs/>
                <w:sz w:val="18"/>
              </w:rPr>
            </w:pPr>
            <w:r>
              <w:rPr>
                <w:b/>
                <w:bCs/>
                <w:sz w:val="18"/>
              </w:rPr>
              <w:t>144.224.580</w:t>
            </w:r>
          </w:p>
        </w:tc>
        <w:tc>
          <w:tcPr>
            <w:tcW w:w="1438" w:type="dxa"/>
            <w:tcBorders>
              <w:top w:val="nil"/>
              <w:left w:val="nil"/>
              <w:bottom w:val="single" w:sz="4" w:space="0" w:color="auto"/>
              <w:right w:val="single" w:sz="4" w:space="0" w:color="auto"/>
            </w:tcBorders>
            <w:shd w:val="clear" w:color="auto" w:fill="auto"/>
            <w:noWrap/>
            <w:vAlign w:val="bottom"/>
            <w:hideMark/>
          </w:tcPr>
          <w:p w:rsidR="00534F9E" w:rsidRPr="00FD0DDD" w:rsidRDefault="00534F9E" w:rsidP="00F47CDB">
            <w:pPr>
              <w:jc w:val="right"/>
              <w:rPr>
                <w:b/>
                <w:bCs/>
                <w:sz w:val="18"/>
              </w:rPr>
            </w:pPr>
            <w:r>
              <w:rPr>
                <w:b/>
                <w:bCs/>
                <w:sz w:val="18"/>
              </w:rPr>
              <w:t>146.017.722</w:t>
            </w:r>
          </w:p>
        </w:tc>
      </w:tr>
      <w:tr w:rsidR="00534F9E" w:rsidRPr="00395F22" w:rsidTr="00F47CDB">
        <w:trPr>
          <w:trHeight w:val="261"/>
        </w:trPr>
        <w:tc>
          <w:tcPr>
            <w:tcW w:w="2548" w:type="dxa"/>
            <w:tcBorders>
              <w:top w:val="nil"/>
              <w:left w:val="single" w:sz="4" w:space="0" w:color="auto"/>
              <w:bottom w:val="single" w:sz="4" w:space="0" w:color="auto"/>
              <w:right w:val="single" w:sz="4" w:space="0" w:color="auto"/>
            </w:tcBorders>
            <w:shd w:val="clear" w:color="auto" w:fill="auto"/>
            <w:noWrap/>
            <w:vAlign w:val="bottom"/>
            <w:hideMark/>
          </w:tcPr>
          <w:p w:rsidR="00534F9E" w:rsidRPr="00FD0DDD" w:rsidRDefault="002F5D57" w:rsidP="00F47CDB">
            <w:pPr>
              <w:rPr>
                <w:b/>
                <w:bCs/>
                <w:sz w:val="18"/>
              </w:rPr>
            </w:pPr>
            <w:r w:rsidRPr="00FD0DDD">
              <w:rPr>
                <w:b/>
                <w:bCs/>
                <w:sz w:val="18"/>
              </w:rPr>
              <w:t>O</w:t>
            </w:r>
            <w:r w:rsidR="00534F9E" w:rsidRPr="00FD0DDD">
              <w:rPr>
                <w:b/>
                <w:bCs/>
                <w:sz w:val="18"/>
              </w:rPr>
              <w:t>pćine</w:t>
            </w:r>
          </w:p>
        </w:tc>
        <w:tc>
          <w:tcPr>
            <w:tcW w:w="1438" w:type="dxa"/>
            <w:tcBorders>
              <w:top w:val="nil"/>
              <w:left w:val="nil"/>
              <w:bottom w:val="single" w:sz="4" w:space="0" w:color="auto"/>
              <w:right w:val="single" w:sz="4" w:space="0" w:color="auto"/>
            </w:tcBorders>
            <w:shd w:val="clear" w:color="auto" w:fill="auto"/>
            <w:noWrap/>
            <w:vAlign w:val="bottom"/>
            <w:hideMark/>
          </w:tcPr>
          <w:p w:rsidR="00534F9E" w:rsidRPr="00FD0DDD" w:rsidRDefault="00534F9E" w:rsidP="00F47CDB">
            <w:pPr>
              <w:jc w:val="right"/>
              <w:rPr>
                <w:b/>
                <w:bCs/>
                <w:sz w:val="18"/>
              </w:rPr>
            </w:pPr>
            <w:r>
              <w:rPr>
                <w:b/>
                <w:bCs/>
                <w:sz w:val="18"/>
              </w:rPr>
              <w:t>31.109.344</w:t>
            </w:r>
          </w:p>
        </w:tc>
        <w:tc>
          <w:tcPr>
            <w:tcW w:w="1438" w:type="dxa"/>
            <w:tcBorders>
              <w:top w:val="nil"/>
              <w:left w:val="nil"/>
              <w:bottom w:val="single" w:sz="4" w:space="0" w:color="auto"/>
              <w:right w:val="single" w:sz="4" w:space="0" w:color="auto"/>
            </w:tcBorders>
            <w:shd w:val="clear" w:color="auto" w:fill="auto"/>
            <w:noWrap/>
            <w:vAlign w:val="bottom"/>
            <w:hideMark/>
          </w:tcPr>
          <w:p w:rsidR="00534F9E" w:rsidRPr="00FD0DDD" w:rsidRDefault="00534F9E" w:rsidP="00F47CDB">
            <w:pPr>
              <w:jc w:val="right"/>
              <w:rPr>
                <w:b/>
                <w:bCs/>
                <w:sz w:val="18"/>
              </w:rPr>
            </w:pPr>
            <w:r>
              <w:rPr>
                <w:b/>
                <w:bCs/>
                <w:sz w:val="18"/>
              </w:rPr>
              <w:t>26.342.863</w:t>
            </w:r>
          </w:p>
        </w:tc>
        <w:tc>
          <w:tcPr>
            <w:tcW w:w="1438" w:type="dxa"/>
            <w:tcBorders>
              <w:top w:val="nil"/>
              <w:left w:val="nil"/>
              <w:bottom w:val="single" w:sz="4" w:space="0" w:color="auto"/>
              <w:right w:val="single" w:sz="4" w:space="0" w:color="auto"/>
            </w:tcBorders>
            <w:shd w:val="clear" w:color="auto" w:fill="auto"/>
            <w:noWrap/>
            <w:vAlign w:val="bottom"/>
            <w:hideMark/>
          </w:tcPr>
          <w:p w:rsidR="00534F9E" w:rsidRPr="00FD0DDD" w:rsidRDefault="00534F9E" w:rsidP="00F47CDB">
            <w:pPr>
              <w:jc w:val="right"/>
              <w:rPr>
                <w:b/>
                <w:bCs/>
                <w:sz w:val="18"/>
              </w:rPr>
            </w:pPr>
            <w:r>
              <w:rPr>
                <w:b/>
                <w:bCs/>
                <w:sz w:val="18"/>
              </w:rPr>
              <w:t>27.501.733</w:t>
            </w:r>
          </w:p>
        </w:tc>
        <w:tc>
          <w:tcPr>
            <w:tcW w:w="1438" w:type="dxa"/>
            <w:tcBorders>
              <w:top w:val="nil"/>
              <w:left w:val="nil"/>
              <w:bottom w:val="single" w:sz="4" w:space="0" w:color="auto"/>
              <w:right w:val="single" w:sz="4" w:space="0" w:color="auto"/>
            </w:tcBorders>
            <w:shd w:val="clear" w:color="auto" w:fill="auto"/>
            <w:noWrap/>
            <w:vAlign w:val="bottom"/>
            <w:hideMark/>
          </w:tcPr>
          <w:p w:rsidR="00534F9E" w:rsidRPr="00FD0DDD" w:rsidRDefault="00534F9E" w:rsidP="00F47CDB">
            <w:pPr>
              <w:jc w:val="right"/>
              <w:rPr>
                <w:b/>
                <w:bCs/>
                <w:sz w:val="18"/>
              </w:rPr>
            </w:pPr>
            <w:r>
              <w:rPr>
                <w:b/>
                <w:bCs/>
                <w:sz w:val="18"/>
              </w:rPr>
              <w:t>29.104.946</w:t>
            </w:r>
          </w:p>
        </w:tc>
        <w:tc>
          <w:tcPr>
            <w:tcW w:w="1438" w:type="dxa"/>
            <w:tcBorders>
              <w:top w:val="nil"/>
              <w:left w:val="nil"/>
              <w:bottom w:val="single" w:sz="4" w:space="0" w:color="auto"/>
              <w:right w:val="single" w:sz="4" w:space="0" w:color="auto"/>
            </w:tcBorders>
            <w:shd w:val="clear" w:color="auto" w:fill="auto"/>
            <w:noWrap/>
            <w:vAlign w:val="bottom"/>
            <w:hideMark/>
          </w:tcPr>
          <w:p w:rsidR="00534F9E" w:rsidRPr="00FD0DDD" w:rsidRDefault="00534F9E" w:rsidP="00F47CDB">
            <w:pPr>
              <w:jc w:val="right"/>
              <w:rPr>
                <w:b/>
                <w:bCs/>
                <w:sz w:val="18"/>
              </w:rPr>
            </w:pPr>
            <w:r>
              <w:rPr>
                <w:b/>
                <w:bCs/>
                <w:sz w:val="18"/>
              </w:rPr>
              <w:t>29.466.807</w:t>
            </w:r>
          </w:p>
        </w:tc>
      </w:tr>
    </w:tbl>
    <w:p w:rsidR="00534F9E" w:rsidRPr="00575D53" w:rsidRDefault="00534F9E" w:rsidP="00534F9E">
      <w:pPr>
        <w:ind w:left="708"/>
        <w:jc w:val="both"/>
        <w:rPr>
          <w:sz w:val="20"/>
          <w:lang w:val="hr-HR" w:eastAsia="hr-HR"/>
        </w:rPr>
      </w:pPr>
      <w:r w:rsidRPr="00575D53">
        <w:rPr>
          <w:b/>
          <w:bCs/>
          <w:sz w:val="20"/>
          <w:lang w:val="hr-HR" w:eastAsia="hr-HR"/>
        </w:rPr>
        <w:t>IZVOR:</w:t>
      </w:r>
      <w:r w:rsidRPr="00575D53">
        <w:rPr>
          <w:sz w:val="20"/>
          <w:lang w:val="hr-HR" w:eastAsia="hr-HR"/>
        </w:rPr>
        <w:t xml:space="preserve"> Projekcije rađene na bazi ukupnog plana prihoda na Jedinstvenom računu, preuzetog od strane Odjeljenja za makroekonomsku analizu Upravnog odbora Uprave za indirektno oporezivanje (OMA), april 20</w:t>
      </w:r>
      <w:r>
        <w:rPr>
          <w:sz w:val="20"/>
          <w:lang w:val="hr-HR" w:eastAsia="hr-HR"/>
        </w:rPr>
        <w:t>20</w:t>
      </w:r>
      <w:r w:rsidRPr="00575D53">
        <w:rPr>
          <w:sz w:val="20"/>
          <w:lang w:val="hr-HR" w:eastAsia="hr-HR"/>
        </w:rPr>
        <w:t>. godine.</w:t>
      </w:r>
    </w:p>
    <w:p w:rsidR="00534F9E" w:rsidRPr="00395F22" w:rsidRDefault="00534F9E" w:rsidP="00534F9E">
      <w:pPr>
        <w:ind w:left="708"/>
        <w:jc w:val="both"/>
        <w:rPr>
          <w:vanish/>
          <w:sz w:val="20"/>
        </w:rPr>
      </w:pPr>
    </w:p>
    <w:p w:rsidR="00534F9E" w:rsidRPr="00395F22" w:rsidRDefault="00534F9E" w:rsidP="00534F9E">
      <w:pPr>
        <w:pStyle w:val="BodyText2"/>
        <w:ind w:left="1068"/>
        <w:rPr>
          <w:sz w:val="20"/>
          <w:szCs w:val="20"/>
        </w:rPr>
      </w:pPr>
    </w:p>
    <w:p w:rsidR="00534F9E" w:rsidRPr="00DC06D7" w:rsidRDefault="00534F9E" w:rsidP="00534F9E">
      <w:pPr>
        <w:pStyle w:val="BodyText2"/>
        <w:rPr>
          <w:szCs w:val="24"/>
        </w:rPr>
      </w:pPr>
      <w:r w:rsidRPr="00DC06D7">
        <w:rPr>
          <w:szCs w:val="24"/>
        </w:rPr>
        <w:t>Bruto naplata prihoda od indirektnih poreza za kanton planira se za 20</w:t>
      </w:r>
      <w:r>
        <w:rPr>
          <w:szCs w:val="24"/>
        </w:rPr>
        <w:t>20</w:t>
      </w:r>
      <w:r w:rsidRPr="00DC06D7">
        <w:rPr>
          <w:szCs w:val="24"/>
        </w:rPr>
        <w:t xml:space="preserve">. godinu u iznosu od </w:t>
      </w:r>
      <w:r>
        <w:rPr>
          <w:szCs w:val="24"/>
        </w:rPr>
        <w:t xml:space="preserve">156.880.352  KM, </w:t>
      </w:r>
      <w:r w:rsidRPr="00156EB3">
        <w:rPr>
          <w:i/>
          <w:iCs/>
          <w:szCs w:val="24"/>
        </w:rPr>
        <w:t>što je za 15,94 % manje u odnosu na izvršenje 2019. godine, kao rezultat posljedica prouzrokovanih opadanjem ekonomskog rasta uslijed pandemije coronavirusa,</w:t>
      </w:r>
      <w:r w:rsidRPr="00DC06D7">
        <w:rPr>
          <w:szCs w:val="24"/>
        </w:rPr>
        <w:t xml:space="preserve"> od toga kantonu pripada </w:t>
      </w:r>
      <w:r>
        <w:rPr>
          <w:szCs w:val="24"/>
        </w:rPr>
        <w:t>130,54</w:t>
      </w:r>
      <w:r w:rsidRPr="00DC06D7">
        <w:rPr>
          <w:szCs w:val="24"/>
        </w:rPr>
        <w:t xml:space="preserve"> mil KM i općine </w:t>
      </w:r>
      <w:r>
        <w:rPr>
          <w:szCs w:val="24"/>
        </w:rPr>
        <w:t>26,34</w:t>
      </w:r>
      <w:r w:rsidRPr="00DC06D7">
        <w:rPr>
          <w:szCs w:val="24"/>
        </w:rPr>
        <w:t xml:space="preserve"> mil KM</w:t>
      </w:r>
      <w:r>
        <w:rPr>
          <w:szCs w:val="24"/>
        </w:rPr>
        <w:t>.</w:t>
      </w:r>
      <w:r w:rsidRPr="00DC06D7">
        <w:rPr>
          <w:szCs w:val="24"/>
        </w:rPr>
        <w:t xml:space="preserve"> </w:t>
      </w:r>
      <w:r>
        <w:rPr>
          <w:szCs w:val="24"/>
        </w:rPr>
        <w:t>Očekivano umanjenje prihoda u 2020. godini u odnosu na izvršenje 2019. godine u apsolutnom iznosu je cca 25 mil. KM, što će dodatno otežati izvršenje rashodovne strane budžeta u 2020. godini.</w:t>
      </w:r>
      <w:r w:rsidRPr="00DC06D7">
        <w:rPr>
          <w:szCs w:val="24"/>
        </w:rPr>
        <w:t xml:space="preserve">   </w:t>
      </w:r>
    </w:p>
    <w:p w:rsidR="00534F9E" w:rsidRPr="00DC06D7" w:rsidRDefault="00534F9E" w:rsidP="00534F9E">
      <w:pPr>
        <w:jc w:val="both"/>
        <w:rPr>
          <w:sz w:val="24"/>
          <w:szCs w:val="24"/>
          <w:lang w:val="fr-FR"/>
        </w:rPr>
      </w:pPr>
      <w:r w:rsidRPr="00DC06D7">
        <w:rPr>
          <w:sz w:val="24"/>
          <w:szCs w:val="24"/>
          <w:lang w:val="fr-FR"/>
        </w:rPr>
        <w:t>Raspodjelom prihoda od indirektnih poreza sa jedinstvenog računa za 20</w:t>
      </w:r>
      <w:r>
        <w:rPr>
          <w:sz w:val="24"/>
          <w:szCs w:val="24"/>
          <w:lang w:val="fr-FR"/>
        </w:rPr>
        <w:t>21</w:t>
      </w:r>
      <w:r w:rsidRPr="00DC06D7">
        <w:rPr>
          <w:sz w:val="24"/>
          <w:szCs w:val="24"/>
          <w:lang w:val="fr-FR"/>
        </w:rPr>
        <w:t xml:space="preserve">. godinu           konsolidovano za Unsko – sanski kanton očekuje se  iznos od  </w:t>
      </w:r>
      <w:r>
        <w:rPr>
          <w:sz w:val="24"/>
          <w:szCs w:val="24"/>
          <w:lang w:val="fr-FR"/>
        </w:rPr>
        <w:t>163.781.868 KM</w:t>
      </w:r>
      <w:r w:rsidRPr="00DC06D7">
        <w:rPr>
          <w:sz w:val="24"/>
          <w:szCs w:val="24"/>
          <w:lang w:val="fr-FR"/>
        </w:rPr>
        <w:t xml:space="preserve">, od čega kantonu pripada </w:t>
      </w:r>
      <w:r>
        <w:rPr>
          <w:sz w:val="24"/>
          <w:szCs w:val="24"/>
          <w:lang w:val="fr-FR"/>
        </w:rPr>
        <w:t xml:space="preserve">136.280.135 </w:t>
      </w:r>
      <w:r w:rsidRPr="00DC06D7">
        <w:rPr>
          <w:sz w:val="24"/>
          <w:szCs w:val="24"/>
          <w:lang w:val="fr-FR"/>
        </w:rPr>
        <w:t xml:space="preserve">KM, a za općine </w:t>
      </w:r>
      <w:r>
        <w:rPr>
          <w:sz w:val="24"/>
          <w:szCs w:val="24"/>
          <w:lang w:val="fr-FR"/>
        </w:rPr>
        <w:t>27.501.733</w:t>
      </w:r>
      <w:r w:rsidRPr="00DC06D7">
        <w:rPr>
          <w:sz w:val="24"/>
          <w:szCs w:val="24"/>
          <w:lang w:val="fr-FR"/>
        </w:rPr>
        <w:t xml:space="preserve"> KM.</w:t>
      </w:r>
      <w:r>
        <w:rPr>
          <w:sz w:val="24"/>
          <w:szCs w:val="24"/>
          <w:lang w:val="fr-FR"/>
        </w:rPr>
        <w:t xml:space="preserve"> </w:t>
      </w:r>
      <w:r w:rsidRPr="00DC06D7">
        <w:rPr>
          <w:sz w:val="24"/>
          <w:szCs w:val="24"/>
          <w:lang w:val="fr-FR"/>
        </w:rPr>
        <w:t>Projekcije prihoda konsolidirano za 20</w:t>
      </w:r>
      <w:r>
        <w:rPr>
          <w:sz w:val="24"/>
          <w:szCs w:val="24"/>
          <w:lang w:val="fr-FR"/>
        </w:rPr>
        <w:t>22. i 2023</w:t>
      </w:r>
      <w:r w:rsidRPr="00DC06D7">
        <w:rPr>
          <w:sz w:val="24"/>
          <w:szCs w:val="24"/>
          <w:lang w:val="fr-FR"/>
        </w:rPr>
        <w:t xml:space="preserve">. godinu iznose </w:t>
      </w:r>
      <w:r>
        <w:rPr>
          <w:sz w:val="24"/>
          <w:szCs w:val="24"/>
          <w:lang w:val="fr-FR"/>
        </w:rPr>
        <w:t>173.329.525</w:t>
      </w:r>
      <w:r w:rsidRPr="00DC06D7">
        <w:rPr>
          <w:sz w:val="24"/>
          <w:szCs w:val="24"/>
          <w:lang w:val="fr-FR"/>
        </w:rPr>
        <w:t xml:space="preserve"> KM </w:t>
      </w:r>
      <w:r>
        <w:rPr>
          <w:sz w:val="24"/>
          <w:szCs w:val="24"/>
          <w:lang w:val="fr-FR"/>
        </w:rPr>
        <w:t>, odnosno  175.484.529</w:t>
      </w:r>
      <w:r w:rsidRPr="00DC06D7">
        <w:rPr>
          <w:sz w:val="24"/>
          <w:szCs w:val="24"/>
          <w:lang w:val="fr-FR"/>
        </w:rPr>
        <w:t xml:space="preserve"> KM.</w:t>
      </w:r>
      <w:bookmarkStart w:id="66" w:name="_Toc422899930"/>
    </w:p>
    <w:p w:rsidR="00534F9E" w:rsidRPr="00534F9E" w:rsidRDefault="00534F9E" w:rsidP="00534F9E">
      <w:pPr>
        <w:pStyle w:val="Heading2"/>
        <w:rPr>
          <w:rFonts w:ascii="Times New Roman" w:hAnsi="Times New Roman"/>
          <w:color w:val="auto"/>
        </w:rPr>
      </w:pPr>
      <w:bookmarkStart w:id="67" w:name="_Toc9858438"/>
      <w:r w:rsidRPr="00534F9E">
        <w:rPr>
          <w:rFonts w:ascii="Times New Roman" w:hAnsi="Times New Roman"/>
          <w:color w:val="auto"/>
        </w:rPr>
        <w:t xml:space="preserve"> Prihodi od direktnih poreza</w:t>
      </w:r>
      <w:bookmarkEnd w:id="66"/>
      <w:bookmarkEnd w:id="67"/>
    </w:p>
    <w:p w:rsidR="00534F9E" w:rsidRDefault="00534F9E" w:rsidP="00534F9E">
      <w:pPr>
        <w:ind w:firstLine="720"/>
        <w:jc w:val="both"/>
        <w:rPr>
          <w:bCs/>
          <w:sz w:val="24"/>
          <w:szCs w:val="24"/>
          <w:lang w:val="hr-HR"/>
        </w:rPr>
      </w:pPr>
      <w:r w:rsidRPr="00DC06D7">
        <w:rPr>
          <w:sz w:val="24"/>
          <w:szCs w:val="24"/>
          <w:lang w:val="hr-HR"/>
        </w:rPr>
        <w:t>Projekcija prihoda od direktnih poreza, u koje se ubrajaju porez na dohodak i porez na dobit, rađena je po ustaljenoj metodologiji,</w:t>
      </w:r>
      <w:r>
        <w:rPr>
          <w:sz w:val="24"/>
          <w:szCs w:val="24"/>
          <w:lang w:val="hr-HR"/>
        </w:rPr>
        <w:t xml:space="preserve"> </w:t>
      </w:r>
      <w:r w:rsidRPr="00DC06D7">
        <w:rPr>
          <w:sz w:val="24"/>
          <w:szCs w:val="24"/>
          <w:lang w:val="hr-HR"/>
        </w:rPr>
        <w:t xml:space="preserve">prateći </w:t>
      </w:r>
      <w:r w:rsidRPr="00DC06D7">
        <w:rPr>
          <w:sz w:val="24"/>
          <w:szCs w:val="24"/>
        </w:rPr>
        <w:t>makroekonomske pokazatelje (</w:t>
      </w:r>
      <w:r>
        <w:rPr>
          <w:sz w:val="24"/>
          <w:szCs w:val="24"/>
        </w:rPr>
        <w:t>BDP</w:t>
      </w:r>
      <w:r w:rsidRPr="00DC06D7">
        <w:rPr>
          <w:sz w:val="24"/>
          <w:szCs w:val="24"/>
        </w:rPr>
        <w:t>-nominalni i rea</w:t>
      </w:r>
      <w:r>
        <w:rPr>
          <w:sz w:val="24"/>
          <w:szCs w:val="24"/>
        </w:rPr>
        <w:t>l</w:t>
      </w:r>
      <w:r w:rsidRPr="00DC06D7">
        <w:rPr>
          <w:sz w:val="24"/>
          <w:szCs w:val="24"/>
        </w:rPr>
        <w:t xml:space="preserve">ni rast </w:t>
      </w:r>
      <w:r>
        <w:rPr>
          <w:sz w:val="24"/>
          <w:szCs w:val="24"/>
        </w:rPr>
        <w:t>BDP</w:t>
      </w:r>
      <w:r w:rsidRPr="00DC06D7">
        <w:rPr>
          <w:sz w:val="24"/>
          <w:szCs w:val="24"/>
        </w:rPr>
        <w:t xml:space="preserve">-a, </w:t>
      </w:r>
      <w:r w:rsidRPr="00DC06D7">
        <w:rPr>
          <w:bCs/>
          <w:sz w:val="24"/>
          <w:szCs w:val="24"/>
        </w:rPr>
        <w:t>inflacija</w:t>
      </w:r>
      <w:r w:rsidRPr="00DC06D7">
        <w:rPr>
          <w:bCs/>
          <w:sz w:val="24"/>
          <w:szCs w:val="24"/>
          <w:lang w:val="hr-HR"/>
        </w:rPr>
        <w:t xml:space="preserve">, </w:t>
      </w:r>
      <w:r w:rsidRPr="00DC06D7">
        <w:rPr>
          <w:bCs/>
          <w:sz w:val="24"/>
          <w:szCs w:val="24"/>
        </w:rPr>
        <w:t>potro</w:t>
      </w:r>
      <w:r w:rsidRPr="00DC06D7">
        <w:rPr>
          <w:bCs/>
          <w:sz w:val="24"/>
          <w:szCs w:val="24"/>
          <w:lang w:val="hr-HR"/>
        </w:rPr>
        <w:t>š</w:t>
      </w:r>
      <w:r w:rsidRPr="00DC06D7">
        <w:rPr>
          <w:bCs/>
          <w:sz w:val="24"/>
          <w:szCs w:val="24"/>
        </w:rPr>
        <w:t>nja</w:t>
      </w:r>
      <w:r w:rsidRPr="00DC06D7">
        <w:rPr>
          <w:bCs/>
          <w:sz w:val="24"/>
          <w:szCs w:val="24"/>
          <w:lang w:val="hr-HR"/>
        </w:rPr>
        <w:t xml:space="preserve">, </w:t>
      </w:r>
      <w:r w:rsidRPr="00DC06D7">
        <w:rPr>
          <w:bCs/>
          <w:sz w:val="24"/>
          <w:szCs w:val="24"/>
        </w:rPr>
        <w:t>investicije</w:t>
      </w:r>
      <w:r w:rsidRPr="00DC06D7">
        <w:rPr>
          <w:bCs/>
          <w:sz w:val="24"/>
          <w:szCs w:val="24"/>
          <w:lang w:val="hr-HR"/>
        </w:rPr>
        <w:t xml:space="preserve">), </w:t>
      </w:r>
      <w:r w:rsidRPr="00DC06D7">
        <w:rPr>
          <w:bCs/>
          <w:sz w:val="24"/>
          <w:szCs w:val="24"/>
        </w:rPr>
        <w:t>uz</w:t>
      </w:r>
      <w:r w:rsidRPr="00DC06D7">
        <w:rPr>
          <w:bCs/>
          <w:sz w:val="24"/>
          <w:szCs w:val="24"/>
          <w:lang w:val="hr-HR"/>
        </w:rPr>
        <w:t xml:space="preserve"> </w:t>
      </w:r>
      <w:r w:rsidRPr="00DC06D7">
        <w:rPr>
          <w:bCs/>
          <w:sz w:val="24"/>
          <w:szCs w:val="24"/>
        </w:rPr>
        <w:t>pra</w:t>
      </w:r>
      <w:r w:rsidRPr="00DC06D7">
        <w:rPr>
          <w:bCs/>
          <w:sz w:val="24"/>
          <w:szCs w:val="24"/>
          <w:lang w:val="hr-HR"/>
        </w:rPr>
        <w:t>ć</w:t>
      </w:r>
      <w:r w:rsidRPr="00DC06D7">
        <w:rPr>
          <w:bCs/>
          <w:sz w:val="24"/>
          <w:szCs w:val="24"/>
        </w:rPr>
        <w:t>enje</w:t>
      </w:r>
      <w:r w:rsidRPr="00DC06D7">
        <w:rPr>
          <w:bCs/>
          <w:sz w:val="24"/>
          <w:szCs w:val="24"/>
          <w:lang w:val="hr-HR"/>
        </w:rPr>
        <w:t xml:space="preserve"> godišnjih i sezonskih </w:t>
      </w:r>
      <w:r w:rsidRPr="00DC06D7">
        <w:rPr>
          <w:bCs/>
          <w:sz w:val="24"/>
          <w:szCs w:val="24"/>
        </w:rPr>
        <w:t>trendova</w:t>
      </w:r>
      <w:r w:rsidRPr="00DC06D7">
        <w:rPr>
          <w:bCs/>
          <w:sz w:val="24"/>
          <w:szCs w:val="24"/>
          <w:lang w:val="hr-HR"/>
        </w:rPr>
        <w:t xml:space="preserve"> </w:t>
      </w:r>
      <w:r w:rsidRPr="00DC06D7">
        <w:rPr>
          <w:bCs/>
          <w:sz w:val="24"/>
          <w:szCs w:val="24"/>
        </w:rPr>
        <w:t>ostvarenja</w:t>
      </w:r>
      <w:r w:rsidRPr="00DC06D7">
        <w:rPr>
          <w:bCs/>
          <w:sz w:val="24"/>
          <w:szCs w:val="24"/>
          <w:lang w:val="hr-HR"/>
        </w:rPr>
        <w:t xml:space="preserve"> prihoda </w:t>
      </w:r>
      <w:r w:rsidRPr="00DC06D7">
        <w:rPr>
          <w:bCs/>
          <w:sz w:val="24"/>
          <w:szCs w:val="24"/>
        </w:rPr>
        <w:t>u</w:t>
      </w:r>
      <w:r w:rsidRPr="00DC06D7">
        <w:rPr>
          <w:bCs/>
          <w:sz w:val="24"/>
          <w:szCs w:val="24"/>
          <w:lang w:val="hr-HR"/>
        </w:rPr>
        <w:t xml:space="preserve"> </w:t>
      </w:r>
      <w:r w:rsidRPr="00DC06D7">
        <w:rPr>
          <w:bCs/>
          <w:sz w:val="24"/>
          <w:szCs w:val="24"/>
        </w:rPr>
        <w:t>prethodnim</w:t>
      </w:r>
      <w:r w:rsidRPr="00DC06D7">
        <w:rPr>
          <w:bCs/>
          <w:sz w:val="24"/>
          <w:szCs w:val="24"/>
          <w:lang w:val="hr-HR"/>
        </w:rPr>
        <w:t xml:space="preserve"> </w:t>
      </w:r>
      <w:r w:rsidRPr="00DC06D7">
        <w:rPr>
          <w:bCs/>
          <w:sz w:val="24"/>
          <w:szCs w:val="24"/>
        </w:rPr>
        <w:t>godinama</w:t>
      </w:r>
      <w:r w:rsidRPr="00DC06D7">
        <w:rPr>
          <w:bCs/>
          <w:sz w:val="24"/>
          <w:szCs w:val="24"/>
          <w:lang w:val="hr-HR"/>
        </w:rPr>
        <w:t xml:space="preserve"> </w:t>
      </w:r>
      <w:r w:rsidRPr="00DC06D7">
        <w:rPr>
          <w:bCs/>
          <w:sz w:val="24"/>
          <w:szCs w:val="24"/>
        </w:rPr>
        <w:t>i</w:t>
      </w:r>
      <w:r w:rsidRPr="00DC06D7">
        <w:rPr>
          <w:bCs/>
          <w:sz w:val="24"/>
          <w:szCs w:val="24"/>
          <w:lang w:val="hr-HR"/>
        </w:rPr>
        <w:t xml:space="preserve"> </w:t>
      </w:r>
      <w:r w:rsidRPr="00DC06D7">
        <w:rPr>
          <w:bCs/>
          <w:sz w:val="24"/>
          <w:szCs w:val="24"/>
        </w:rPr>
        <w:t>izmjena</w:t>
      </w:r>
      <w:r w:rsidRPr="00DC06D7">
        <w:rPr>
          <w:bCs/>
          <w:sz w:val="24"/>
          <w:szCs w:val="24"/>
          <w:lang w:val="hr-HR"/>
        </w:rPr>
        <w:t xml:space="preserve"> </w:t>
      </w:r>
      <w:r w:rsidRPr="00DC06D7">
        <w:rPr>
          <w:bCs/>
          <w:sz w:val="24"/>
          <w:szCs w:val="24"/>
        </w:rPr>
        <w:t>propisa</w:t>
      </w:r>
      <w:r w:rsidRPr="00DC06D7">
        <w:rPr>
          <w:bCs/>
          <w:sz w:val="24"/>
          <w:szCs w:val="24"/>
          <w:lang w:val="hr-HR"/>
        </w:rPr>
        <w:t xml:space="preserve"> </w:t>
      </w:r>
      <w:r w:rsidRPr="00DC06D7">
        <w:rPr>
          <w:bCs/>
          <w:sz w:val="24"/>
          <w:szCs w:val="24"/>
        </w:rPr>
        <w:t>koji</w:t>
      </w:r>
      <w:r w:rsidRPr="00DC06D7">
        <w:rPr>
          <w:bCs/>
          <w:sz w:val="24"/>
          <w:szCs w:val="24"/>
          <w:lang w:val="hr-HR"/>
        </w:rPr>
        <w:t xml:space="preserve"> </w:t>
      </w:r>
      <w:r w:rsidRPr="00DC06D7">
        <w:rPr>
          <w:bCs/>
          <w:sz w:val="24"/>
          <w:szCs w:val="24"/>
        </w:rPr>
        <w:t>tretiraju</w:t>
      </w:r>
      <w:r w:rsidRPr="00DC06D7">
        <w:rPr>
          <w:bCs/>
          <w:sz w:val="24"/>
          <w:szCs w:val="24"/>
          <w:lang w:val="hr-HR"/>
        </w:rPr>
        <w:t xml:space="preserve"> </w:t>
      </w:r>
      <w:r w:rsidRPr="00DC06D7">
        <w:rPr>
          <w:bCs/>
          <w:sz w:val="24"/>
          <w:szCs w:val="24"/>
        </w:rPr>
        <w:t>odre</w:t>
      </w:r>
      <w:r w:rsidRPr="00DC06D7">
        <w:rPr>
          <w:bCs/>
          <w:sz w:val="24"/>
          <w:szCs w:val="24"/>
          <w:lang w:val="hr-HR"/>
        </w:rPr>
        <w:t>đ</w:t>
      </w:r>
      <w:r w:rsidRPr="00DC06D7">
        <w:rPr>
          <w:bCs/>
          <w:sz w:val="24"/>
          <w:szCs w:val="24"/>
        </w:rPr>
        <w:t>ene</w:t>
      </w:r>
      <w:r w:rsidRPr="00DC06D7">
        <w:rPr>
          <w:bCs/>
          <w:sz w:val="24"/>
          <w:szCs w:val="24"/>
          <w:lang w:val="hr-HR"/>
        </w:rPr>
        <w:t xml:space="preserve"> </w:t>
      </w:r>
      <w:r w:rsidRPr="00DC06D7">
        <w:rPr>
          <w:bCs/>
          <w:sz w:val="24"/>
          <w:szCs w:val="24"/>
        </w:rPr>
        <w:t>oblasti</w:t>
      </w:r>
      <w:r w:rsidRPr="00DC06D7">
        <w:rPr>
          <w:bCs/>
          <w:sz w:val="24"/>
          <w:szCs w:val="24"/>
          <w:lang w:val="hr-HR"/>
        </w:rPr>
        <w:t>.</w:t>
      </w:r>
    </w:p>
    <w:p w:rsidR="00534F9E" w:rsidRPr="00DD49C8" w:rsidRDefault="00534F9E" w:rsidP="00534F9E">
      <w:pPr>
        <w:pStyle w:val="Heading4"/>
        <w:rPr>
          <w:sz w:val="24"/>
          <w:szCs w:val="24"/>
          <w:lang w:val="hr-HR"/>
        </w:rPr>
      </w:pPr>
      <w:bookmarkStart w:id="68" w:name="_Toc9858439"/>
      <w:r w:rsidRPr="00DD49C8">
        <w:rPr>
          <w:sz w:val="24"/>
          <w:szCs w:val="24"/>
          <w:lang w:val="hr-HR"/>
        </w:rPr>
        <w:t>Porez na dohodak</w:t>
      </w:r>
      <w:bookmarkEnd w:id="68"/>
    </w:p>
    <w:p w:rsidR="00534F9E" w:rsidRPr="00DC06D7" w:rsidRDefault="00534F9E" w:rsidP="00534F9E">
      <w:pPr>
        <w:ind w:firstLine="720"/>
        <w:jc w:val="both"/>
        <w:rPr>
          <w:sz w:val="24"/>
          <w:szCs w:val="24"/>
          <w:lang w:val="hr-HR"/>
        </w:rPr>
      </w:pPr>
      <w:r w:rsidRPr="00DC06D7">
        <w:rPr>
          <w:sz w:val="24"/>
          <w:szCs w:val="24"/>
          <w:lang w:val="hr-HR"/>
        </w:rPr>
        <w:t>Plan prihoda po osnovu poreza na dohodak također je rađen na bazi historijskog trenda ostvarenja i procjena kretanja makroekonomskih pokazatelja preuzetih od Direkcije za ekonomsko planiranje ( DEP-a) pod pretpostavkom da neće doći do izmjena poreznih politika.</w:t>
      </w:r>
    </w:p>
    <w:p w:rsidR="00534F9E" w:rsidRDefault="00534F9E" w:rsidP="00534F9E">
      <w:pPr>
        <w:ind w:firstLine="720"/>
        <w:jc w:val="both"/>
        <w:rPr>
          <w:sz w:val="24"/>
          <w:szCs w:val="24"/>
          <w:lang w:val="hr-HR"/>
        </w:rPr>
      </w:pPr>
      <w:r w:rsidRPr="00DC06D7">
        <w:rPr>
          <w:sz w:val="24"/>
          <w:szCs w:val="24"/>
          <w:lang w:val="hr-HR"/>
        </w:rPr>
        <w:t>Napominjemo da ukupne projekcije poreza na dohodak uključuju povrate po osnovu više uplaćenog poreza na dohodak, na osnovu podataka Porezne uprave o broju zahtjeva i rješenja za povrat za 201</w:t>
      </w:r>
      <w:r>
        <w:rPr>
          <w:sz w:val="24"/>
          <w:szCs w:val="24"/>
          <w:lang w:val="hr-HR"/>
        </w:rPr>
        <w:t>9</w:t>
      </w:r>
      <w:r w:rsidRPr="00DC06D7">
        <w:rPr>
          <w:sz w:val="24"/>
          <w:szCs w:val="24"/>
          <w:lang w:val="hr-HR"/>
        </w:rPr>
        <w:t>.godinu.</w:t>
      </w:r>
    </w:p>
    <w:p w:rsidR="00534F9E" w:rsidRPr="00DC06D7" w:rsidRDefault="00534F9E" w:rsidP="00534F9E">
      <w:pPr>
        <w:ind w:firstLine="720"/>
        <w:jc w:val="both"/>
        <w:rPr>
          <w:b/>
          <w:szCs w:val="24"/>
          <w:lang w:val="hr-HR"/>
        </w:rPr>
      </w:pPr>
      <w:r>
        <w:rPr>
          <w:b/>
          <w:szCs w:val="24"/>
          <w:lang w:val="hr-HR"/>
        </w:rPr>
        <w:t>Tabela :</w:t>
      </w:r>
      <w:r w:rsidRPr="00DC06D7">
        <w:t xml:space="preserve"> </w:t>
      </w:r>
      <w:r w:rsidRPr="00DC06D7">
        <w:rPr>
          <w:b/>
          <w:szCs w:val="24"/>
          <w:lang w:val="hr-HR"/>
        </w:rPr>
        <w:t xml:space="preserve">Revidirane projekcije prihoda poreza na dohodak za </w:t>
      </w:r>
      <w:r>
        <w:rPr>
          <w:b/>
          <w:szCs w:val="24"/>
          <w:lang w:val="hr-HR"/>
        </w:rPr>
        <w:t xml:space="preserve">za 2020. godinu , te plan za </w:t>
      </w:r>
      <w:r w:rsidRPr="00DC06D7">
        <w:rPr>
          <w:b/>
          <w:szCs w:val="24"/>
          <w:lang w:val="hr-HR"/>
        </w:rPr>
        <w:t>period 20</w:t>
      </w:r>
      <w:r>
        <w:rPr>
          <w:b/>
          <w:szCs w:val="24"/>
          <w:lang w:val="hr-HR"/>
        </w:rPr>
        <w:t xml:space="preserve">21. </w:t>
      </w:r>
      <w:r w:rsidRPr="00DC06D7">
        <w:rPr>
          <w:b/>
          <w:szCs w:val="24"/>
          <w:lang w:val="hr-HR"/>
        </w:rPr>
        <w:t>-</w:t>
      </w:r>
      <w:r>
        <w:rPr>
          <w:b/>
          <w:szCs w:val="24"/>
          <w:lang w:val="hr-HR"/>
        </w:rPr>
        <w:t xml:space="preserve"> 2023.</w:t>
      </w:r>
    </w:p>
    <w:tbl>
      <w:tblPr>
        <w:tblW w:w="8433" w:type="dxa"/>
        <w:tblInd w:w="490" w:type="dxa"/>
        <w:tblLook w:val="04A0"/>
      </w:tblPr>
      <w:tblGrid>
        <w:gridCol w:w="2633"/>
        <w:gridCol w:w="1160"/>
        <w:gridCol w:w="1160"/>
        <w:gridCol w:w="1160"/>
        <w:gridCol w:w="1160"/>
        <w:gridCol w:w="1160"/>
      </w:tblGrid>
      <w:tr w:rsidR="00534F9E" w:rsidRPr="00DC06D7" w:rsidTr="00F47CDB">
        <w:trPr>
          <w:trHeight w:val="270"/>
        </w:trPr>
        <w:tc>
          <w:tcPr>
            <w:tcW w:w="2633"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534F9E" w:rsidRPr="00DC06D7" w:rsidRDefault="00534F9E" w:rsidP="00F47CDB">
            <w:pPr>
              <w:jc w:val="center"/>
              <w:rPr>
                <w:sz w:val="16"/>
                <w:szCs w:val="16"/>
                <w:lang w:val="hr-HR" w:eastAsia="hr-HR"/>
              </w:rPr>
            </w:pPr>
            <w:r w:rsidRPr="00DC06D7">
              <w:rPr>
                <w:sz w:val="16"/>
                <w:szCs w:val="16"/>
                <w:lang w:val="bs-Latn-BA" w:eastAsia="hr-HR"/>
              </w:rPr>
              <w:t>Vrsta prihoda</w:t>
            </w:r>
          </w:p>
        </w:tc>
        <w:tc>
          <w:tcPr>
            <w:tcW w:w="1160" w:type="dxa"/>
            <w:tcBorders>
              <w:top w:val="single" w:sz="8" w:space="0" w:color="auto"/>
              <w:left w:val="nil"/>
              <w:bottom w:val="single" w:sz="8" w:space="0" w:color="auto"/>
              <w:right w:val="nil"/>
            </w:tcBorders>
            <w:shd w:val="clear" w:color="auto" w:fill="auto"/>
            <w:noWrap/>
            <w:vAlign w:val="bottom"/>
            <w:hideMark/>
          </w:tcPr>
          <w:p w:rsidR="00534F9E" w:rsidRPr="00DC06D7" w:rsidRDefault="00534F9E" w:rsidP="00F47CDB">
            <w:pPr>
              <w:rPr>
                <w:b/>
                <w:bCs/>
                <w:sz w:val="16"/>
                <w:szCs w:val="16"/>
                <w:lang w:val="hr-HR" w:eastAsia="hr-HR"/>
              </w:rPr>
            </w:pPr>
            <w:r w:rsidRPr="00DC06D7">
              <w:rPr>
                <w:b/>
                <w:bCs/>
                <w:sz w:val="16"/>
                <w:szCs w:val="16"/>
                <w:lang w:val="bs-Latn-BA" w:eastAsia="hr-HR"/>
              </w:rPr>
              <w:t>izvršenje</w:t>
            </w:r>
          </w:p>
        </w:tc>
        <w:tc>
          <w:tcPr>
            <w:tcW w:w="46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4F9E" w:rsidRPr="00DC06D7" w:rsidRDefault="00534F9E" w:rsidP="00F47CDB">
            <w:pPr>
              <w:jc w:val="center"/>
              <w:rPr>
                <w:b/>
                <w:bCs/>
                <w:sz w:val="16"/>
                <w:szCs w:val="16"/>
                <w:lang w:val="hr-HR" w:eastAsia="hr-HR"/>
              </w:rPr>
            </w:pPr>
            <w:r w:rsidRPr="00DC06D7">
              <w:rPr>
                <w:b/>
                <w:bCs/>
                <w:sz w:val="16"/>
                <w:szCs w:val="16"/>
                <w:lang w:val="bs-Latn-BA" w:eastAsia="hr-HR"/>
              </w:rPr>
              <w:t>projekcije</w:t>
            </w:r>
          </w:p>
        </w:tc>
      </w:tr>
      <w:tr w:rsidR="00534F9E" w:rsidRPr="00DC06D7" w:rsidTr="00F47CDB">
        <w:trPr>
          <w:trHeight w:val="270"/>
        </w:trPr>
        <w:tc>
          <w:tcPr>
            <w:tcW w:w="2633" w:type="dxa"/>
            <w:vMerge/>
            <w:tcBorders>
              <w:top w:val="single" w:sz="8" w:space="0" w:color="auto"/>
              <w:left w:val="single" w:sz="8" w:space="0" w:color="auto"/>
              <w:bottom w:val="single" w:sz="8" w:space="0" w:color="000000"/>
              <w:right w:val="single" w:sz="8" w:space="0" w:color="auto"/>
            </w:tcBorders>
            <w:vAlign w:val="center"/>
            <w:hideMark/>
          </w:tcPr>
          <w:p w:rsidR="00534F9E" w:rsidRPr="00DC06D7" w:rsidRDefault="00534F9E" w:rsidP="00F47CDB">
            <w:pPr>
              <w:rPr>
                <w:sz w:val="16"/>
                <w:szCs w:val="16"/>
                <w:lang w:val="hr-HR" w:eastAsia="hr-HR"/>
              </w:rPr>
            </w:pPr>
          </w:p>
        </w:tc>
        <w:tc>
          <w:tcPr>
            <w:tcW w:w="1160" w:type="dxa"/>
            <w:tcBorders>
              <w:top w:val="nil"/>
              <w:left w:val="nil"/>
              <w:bottom w:val="single" w:sz="8" w:space="0" w:color="auto"/>
              <w:right w:val="single" w:sz="8" w:space="0" w:color="auto"/>
            </w:tcBorders>
            <w:shd w:val="clear" w:color="auto" w:fill="auto"/>
            <w:vAlign w:val="bottom"/>
            <w:hideMark/>
          </w:tcPr>
          <w:p w:rsidR="00534F9E" w:rsidRPr="00DC06D7" w:rsidRDefault="00534F9E" w:rsidP="00F47CDB">
            <w:pPr>
              <w:jc w:val="center"/>
              <w:rPr>
                <w:b/>
                <w:bCs/>
                <w:sz w:val="16"/>
                <w:szCs w:val="16"/>
                <w:lang w:val="hr-HR" w:eastAsia="hr-HR"/>
              </w:rPr>
            </w:pPr>
            <w:r w:rsidRPr="00DC06D7">
              <w:rPr>
                <w:b/>
                <w:bCs/>
                <w:sz w:val="16"/>
                <w:szCs w:val="16"/>
                <w:lang w:val="bs-Latn-BA" w:eastAsia="hr-HR"/>
              </w:rPr>
              <w:t>201</w:t>
            </w:r>
            <w:r>
              <w:rPr>
                <w:b/>
                <w:bCs/>
                <w:sz w:val="16"/>
                <w:szCs w:val="16"/>
                <w:lang w:val="bs-Latn-BA" w:eastAsia="hr-HR"/>
              </w:rPr>
              <w:t>9.</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4F9E" w:rsidRPr="00DC06D7" w:rsidRDefault="00534F9E" w:rsidP="00F47CDB">
            <w:pPr>
              <w:jc w:val="center"/>
              <w:rPr>
                <w:b/>
                <w:bCs/>
                <w:sz w:val="16"/>
                <w:szCs w:val="16"/>
                <w:lang w:val="hr-HR" w:eastAsia="hr-HR"/>
              </w:rPr>
            </w:pPr>
            <w:r w:rsidRPr="00DC06D7">
              <w:rPr>
                <w:b/>
                <w:bCs/>
                <w:sz w:val="16"/>
                <w:szCs w:val="16"/>
                <w:lang w:val="hr-HR" w:eastAsia="hr-HR"/>
              </w:rPr>
              <w:t>2</w:t>
            </w:r>
            <w:r>
              <w:rPr>
                <w:b/>
                <w:bCs/>
                <w:sz w:val="16"/>
                <w:szCs w:val="16"/>
                <w:lang w:val="hr-HR" w:eastAsia="hr-HR"/>
              </w:rPr>
              <w:t>020</w:t>
            </w:r>
            <w:r w:rsidRPr="00DC06D7">
              <w:rPr>
                <w:b/>
                <w:bCs/>
                <w:sz w:val="16"/>
                <w:szCs w:val="16"/>
                <w:lang w:val="hr-HR" w:eastAsia="hr-HR"/>
              </w:rPr>
              <w: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534F9E" w:rsidRPr="00DC06D7" w:rsidRDefault="00534F9E" w:rsidP="00F47CDB">
            <w:pPr>
              <w:jc w:val="center"/>
              <w:rPr>
                <w:b/>
                <w:bCs/>
                <w:sz w:val="16"/>
                <w:szCs w:val="16"/>
                <w:lang w:val="hr-HR" w:eastAsia="hr-HR"/>
              </w:rPr>
            </w:pPr>
            <w:r w:rsidRPr="00DC06D7">
              <w:rPr>
                <w:b/>
                <w:bCs/>
                <w:sz w:val="16"/>
                <w:szCs w:val="16"/>
                <w:lang w:val="hr-HR" w:eastAsia="hr-HR"/>
              </w:rPr>
              <w:t>20</w:t>
            </w:r>
            <w:r>
              <w:rPr>
                <w:b/>
                <w:bCs/>
                <w:sz w:val="16"/>
                <w:szCs w:val="16"/>
                <w:lang w:val="hr-HR" w:eastAsia="hr-HR"/>
              </w:rPr>
              <w:t>21</w:t>
            </w:r>
            <w:r w:rsidRPr="00DC06D7">
              <w:rPr>
                <w:b/>
                <w:bCs/>
                <w:sz w:val="16"/>
                <w:szCs w:val="16"/>
                <w:lang w:val="hr-HR" w:eastAsia="hr-HR"/>
              </w:rPr>
              <w: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534F9E" w:rsidRPr="00DC06D7" w:rsidRDefault="00534F9E" w:rsidP="00F47CDB">
            <w:pPr>
              <w:jc w:val="center"/>
              <w:rPr>
                <w:b/>
                <w:bCs/>
                <w:sz w:val="16"/>
                <w:szCs w:val="16"/>
                <w:lang w:val="hr-HR" w:eastAsia="hr-HR"/>
              </w:rPr>
            </w:pPr>
            <w:r w:rsidRPr="00DC06D7">
              <w:rPr>
                <w:b/>
                <w:bCs/>
                <w:sz w:val="16"/>
                <w:szCs w:val="16"/>
                <w:lang w:val="hr-HR" w:eastAsia="hr-HR"/>
              </w:rPr>
              <w:t>20</w:t>
            </w:r>
            <w:r>
              <w:rPr>
                <w:b/>
                <w:bCs/>
                <w:sz w:val="16"/>
                <w:szCs w:val="16"/>
                <w:lang w:val="hr-HR" w:eastAsia="hr-HR"/>
              </w:rPr>
              <w:t>22</w:t>
            </w:r>
            <w:r w:rsidRPr="00DC06D7">
              <w:rPr>
                <w:b/>
                <w:bCs/>
                <w:sz w:val="16"/>
                <w:szCs w:val="16"/>
                <w:lang w:val="hr-HR" w:eastAsia="hr-HR"/>
              </w:rPr>
              <w:t>.</w:t>
            </w:r>
          </w:p>
        </w:tc>
        <w:tc>
          <w:tcPr>
            <w:tcW w:w="1160" w:type="dxa"/>
            <w:tcBorders>
              <w:top w:val="single" w:sz="4" w:space="0" w:color="auto"/>
              <w:left w:val="nil"/>
              <w:bottom w:val="single" w:sz="4" w:space="0" w:color="auto"/>
              <w:right w:val="single" w:sz="8" w:space="0" w:color="auto"/>
            </w:tcBorders>
            <w:shd w:val="clear" w:color="auto" w:fill="auto"/>
            <w:vAlign w:val="center"/>
            <w:hideMark/>
          </w:tcPr>
          <w:p w:rsidR="00534F9E" w:rsidRPr="00DC06D7" w:rsidRDefault="00534F9E" w:rsidP="00F47CDB">
            <w:pPr>
              <w:jc w:val="center"/>
              <w:rPr>
                <w:b/>
                <w:bCs/>
                <w:sz w:val="16"/>
                <w:szCs w:val="16"/>
                <w:lang w:val="hr-HR" w:eastAsia="hr-HR"/>
              </w:rPr>
            </w:pPr>
            <w:r w:rsidRPr="00DC06D7">
              <w:rPr>
                <w:b/>
                <w:bCs/>
                <w:sz w:val="16"/>
                <w:szCs w:val="16"/>
                <w:lang w:val="hr-HR" w:eastAsia="hr-HR"/>
              </w:rPr>
              <w:t>20</w:t>
            </w:r>
            <w:r>
              <w:rPr>
                <w:b/>
                <w:bCs/>
                <w:sz w:val="16"/>
                <w:szCs w:val="16"/>
                <w:lang w:val="hr-HR" w:eastAsia="hr-HR"/>
              </w:rPr>
              <w:t>23</w:t>
            </w:r>
            <w:r w:rsidRPr="00DC06D7">
              <w:rPr>
                <w:b/>
                <w:bCs/>
                <w:sz w:val="16"/>
                <w:szCs w:val="16"/>
                <w:lang w:val="hr-HR" w:eastAsia="hr-HR"/>
              </w:rPr>
              <w:t>.</w:t>
            </w:r>
          </w:p>
        </w:tc>
      </w:tr>
      <w:tr w:rsidR="00534F9E" w:rsidRPr="00DC06D7" w:rsidTr="00F47CDB">
        <w:trPr>
          <w:trHeight w:val="270"/>
        </w:trPr>
        <w:tc>
          <w:tcPr>
            <w:tcW w:w="2633" w:type="dxa"/>
            <w:tcBorders>
              <w:top w:val="nil"/>
              <w:left w:val="single" w:sz="8" w:space="0" w:color="auto"/>
              <w:bottom w:val="single" w:sz="8" w:space="0" w:color="auto"/>
              <w:right w:val="single" w:sz="8" w:space="0" w:color="auto"/>
            </w:tcBorders>
            <w:shd w:val="clear" w:color="auto" w:fill="FFFFFF"/>
            <w:noWrap/>
            <w:vAlign w:val="bottom"/>
            <w:hideMark/>
          </w:tcPr>
          <w:p w:rsidR="00534F9E" w:rsidRPr="00DC06D7" w:rsidRDefault="00534F9E" w:rsidP="00F47CDB">
            <w:pPr>
              <w:rPr>
                <w:bCs/>
                <w:sz w:val="16"/>
                <w:szCs w:val="16"/>
                <w:lang w:val="hr-HR" w:eastAsia="hr-HR"/>
              </w:rPr>
            </w:pPr>
            <w:r w:rsidRPr="00DC06D7">
              <w:rPr>
                <w:bCs/>
                <w:sz w:val="16"/>
                <w:szCs w:val="16"/>
                <w:lang w:val="bs-Latn-BA" w:eastAsia="hr-HR"/>
              </w:rPr>
              <w:t>Ukupno porez na dohodak</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4F9E" w:rsidRPr="00277A54" w:rsidRDefault="00534F9E" w:rsidP="00F47CDB">
            <w:pPr>
              <w:jc w:val="right"/>
              <w:rPr>
                <w:b/>
                <w:bCs/>
                <w:sz w:val="20"/>
              </w:rPr>
            </w:pPr>
            <w:r>
              <w:rPr>
                <w:b/>
                <w:bCs/>
                <w:sz w:val="20"/>
              </w:rPr>
              <w:t>27.658.858</w:t>
            </w:r>
          </w:p>
        </w:tc>
        <w:tc>
          <w:tcPr>
            <w:tcW w:w="1160" w:type="dxa"/>
            <w:tcBorders>
              <w:top w:val="nil"/>
              <w:left w:val="nil"/>
              <w:bottom w:val="single" w:sz="4" w:space="0" w:color="auto"/>
              <w:right w:val="single" w:sz="4" w:space="0" w:color="auto"/>
            </w:tcBorders>
            <w:shd w:val="clear" w:color="auto" w:fill="auto"/>
            <w:noWrap/>
            <w:vAlign w:val="bottom"/>
            <w:hideMark/>
          </w:tcPr>
          <w:p w:rsidR="00534F9E" w:rsidRPr="00277A54" w:rsidRDefault="00534F9E" w:rsidP="00F47CDB">
            <w:pPr>
              <w:jc w:val="right"/>
              <w:rPr>
                <w:b/>
                <w:bCs/>
                <w:sz w:val="20"/>
              </w:rPr>
            </w:pPr>
            <w:r>
              <w:rPr>
                <w:b/>
                <w:bCs/>
                <w:sz w:val="20"/>
              </w:rPr>
              <w:t>19.216.433</w:t>
            </w:r>
          </w:p>
        </w:tc>
        <w:tc>
          <w:tcPr>
            <w:tcW w:w="1160" w:type="dxa"/>
            <w:tcBorders>
              <w:top w:val="nil"/>
              <w:left w:val="nil"/>
              <w:bottom w:val="single" w:sz="4" w:space="0" w:color="auto"/>
              <w:right w:val="single" w:sz="4" w:space="0" w:color="auto"/>
            </w:tcBorders>
            <w:shd w:val="clear" w:color="auto" w:fill="auto"/>
            <w:vAlign w:val="bottom"/>
            <w:hideMark/>
          </w:tcPr>
          <w:p w:rsidR="00534F9E" w:rsidRPr="00277A54" w:rsidRDefault="00534F9E" w:rsidP="00F47CDB">
            <w:pPr>
              <w:jc w:val="right"/>
              <w:rPr>
                <w:b/>
                <w:bCs/>
                <w:sz w:val="20"/>
              </w:rPr>
            </w:pPr>
            <w:r>
              <w:rPr>
                <w:b/>
                <w:bCs/>
                <w:sz w:val="20"/>
              </w:rPr>
              <w:t>19.754.493</w:t>
            </w:r>
          </w:p>
        </w:tc>
        <w:tc>
          <w:tcPr>
            <w:tcW w:w="1160" w:type="dxa"/>
            <w:tcBorders>
              <w:top w:val="nil"/>
              <w:left w:val="nil"/>
              <w:bottom w:val="single" w:sz="4" w:space="0" w:color="auto"/>
              <w:right w:val="single" w:sz="4" w:space="0" w:color="auto"/>
            </w:tcBorders>
            <w:shd w:val="clear" w:color="auto" w:fill="auto"/>
            <w:vAlign w:val="bottom"/>
            <w:hideMark/>
          </w:tcPr>
          <w:p w:rsidR="00534F9E" w:rsidRPr="00277A54" w:rsidRDefault="00534F9E" w:rsidP="00F47CDB">
            <w:pPr>
              <w:jc w:val="right"/>
              <w:rPr>
                <w:b/>
                <w:bCs/>
                <w:sz w:val="20"/>
              </w:rPr>
            </w:pPr>
            <w:r>
              <w:rPr>
                <w:b/>
                <w:bCs/>
                <w:sz w:val="20"/>
              </w:rPr>
              <w:t>20.366.882</w:t>
            </w:r>
          </w:p>
        </w:tc>
        <w:tc>
          <w:tcPr>
            <w:tcW w:w="1160" w:type="dxa"/>
            <w:tcBorders>
              <w:top w:val="nil"/>
              <w:left w:val="nil"/>
              <w:bottom w:val="single" w:sz="4" w:space="0" w:color="auto"/>
              <w:right w:val="single" w:sz="8" w:space="0" w:color="auto"/>
            </w:tcBorders>
            <w:shd w:val="clear" w:color="auto" w:fill="auto"/>
            <w:vAlign w:val="bottom"/>
            <w:hideMark/>
          </w:tcPr>
          <w:p w:rsidR="00534F9E" w:rsidRPr="00277A54" w:rsidRDefault="00534F9E" w:rsidP="00F47CDB">
            <w:pPr>
              <w:jc w:val="right"/>
              <w:rPr>
                <w:b/>
                <w:bCs/>
                <w:sz w:val="20"/>
              </w:rPr>
            </w:pPr>
            <w:r>
              <w:rPr>
                <w:b/>
                <w:bCs/>
                <w:sz w:val="20"/>
              </w:rPr>
              <w:t>21.018.622</w:t>
            </w:r>
          </w:p>
        </w:tc>
      </w:tr>
      <w:tr w:rsidR="00534F9E" w:rsidRPr="00DC06D7" w:rsidTr="00F47CDB">
        <w:trPr>
          <w:trHeight w:val="270"/>
        </w:trPr>
        <w:tc>
          <w:tcPr>
            <w:tcW w:w="2633" w:type="dxa"/>
            <w:tcBorders>
              <w:top w:val="nil"/>
              <w:left w:val="single" w:sz="8" w:space="0" w:color="auto"/>
              <w:bottom w:val="single" w:sz="8" w:space="0" w:color="auto"/>
              <w:right w:val="single" w:sz="8" w:space="0" w:color="auto"/>
            </w:tcBorders>
            <w:shd w:val="clear" w:color="auto" w:fill="auto"/>
            <w:noWrap/>
            <w:vAlign w:val="bottom"/>
            <w:hideMark/>
          </w:tcPr>
          <w:p w:rsidR="00534F9E" w:rsidRPr="00DC06D7" w:rsidRDefault="00534F9E" w:rsidP="00F47CDB">
            <w:pPr>
              <w:rPr>
                <w:b/>
                <w:sz w:val="16"/>
                <w:szCs w:val="16"/>
                <w:lang w:val="hr-HR" w:eastAsia="hr-HR"/>
              </w:rPr>
            </w:pPr>
            <w:r w:rsidRPr="00DC06D7">
              <w:rPr>
                <w:b/>
                <w:sz w:val="16"/>
                <w:szCs w:val="16"/>
                <w:lang w:val="bs-Latn-BA" w:eastAsia="hr-HR"/>
              </w:rPr>
              <w:t>Kanton</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34F9E" w:rsidRPr="00277A54" w:rsidRDefault="00534F9E" w:rsidP="00F47CDB">
            <w:pPr>
              <w:jc w:val="right"/>
              <w:rPr>
                <w:sz w:val="16"/>
                <w:szCs w:val="16"/>
              </w:rPr>
            </w:pPr>
            <w:r>
              <w:rPr>
                <w:sz w:val="16"/>
                <w:szCs w:val="16"/>
              </w:rPr>
              <w:t>18.127.615</w:t>
            </w:r>
          </w:p>
        </w:tc>
        <w:tc>
          <w:tcPr>
            <w:tcW w:w="1160" w:type="dxa"/>
            <w:tcBorders>
              <w:top w:val="nil"/>
              <w:left w:val="nil"/>
              <w:bottom w:val="single" w:sz="4" w:space="0" w:color="auto"/>
              <w:right w:val="single" w:sz="4" w:space="0" w:color="auto"/>
            </w:tcBorders>
            <w:shd w:val="clear" w:color="auto" w:fill="auto"/>
            <w:noWrap/>
            <w:vAlign w:val="bottom"/>
            <w:hideMark/>
          </w:tcPr>
          <w:p w:rsidR="00534F9E" w:rsidRPr="00277A54" w:rsidRDefault="00534F9E" w:rsidP="00F47CDB">
            <w:pPr>
              <w:jc w:val="right"/>
              <w:rPr>
                <w:sz w:val="16"/>
                <w:szCs w:val="16"/>
              </w:rPr>
            </w:pPr>
            <w:r>
              <w:rPr>
                <w:sz w:val="16"/>
                <w:szCs w:val="16"/>
              </w:rPr>
              <w:t>12.594.450</w:t>
            </w:r>
          </w:p>
        </w:tc>
        <w:tc>
          <w:tcPr>
            <w:tcW w:w="1160" w:type="dxa"/>
            <w:tcBorders>
              <w:top w:val="nil"/>
              <w:left w:val="nil"/>
              <w:bottom w:val="single" w:sz="4" w:space="0" w:color="auto"/>
              <w:right w:val="single" w:sz="4" w:space="0" w:color="auto"/>
            </w:tcBorders>
            <w:shd w:val="clear" w:color="auto" w:fill="auto"/>
            <w:noWrap/>
            <w:vAlign w:val="bottom"/>
            <w:hideMark/>
          </w:tcPr>
          <w:p w:rsidR="00534F9E" w:rsidRPr="00277A54" w:rsidRDefault="00534F9E" w:rsidP="00F47CDB">
            <w:pPr>
              <w:jc w:val="right"/>
              <w:rPr>
                <w:sz w:val="16"/>
                <w:szCs w:val="16"/>
              </w:rPr>
            </w:pPr>
            <w:r>
              <w:rPr>
                <w:sz w:val="16"/>
                <w:szCs w:val="16"/>
              </w:rPr>
              <w:t>12.947.095</w:t>
            </w:r>
          </w:p>
        </w:tc>
        <w:tc>
          <w:tcPr>
            <w:tcW w:w="1160" w:type="dxa"/>
            <w:tcBorders>
              <w:top w:val="nil"/>
              <w:left w:val="nil"/>
              <w:bottom w:val="single" w:sz="4" w:space="0" w:color="auto"/>
              <w:right w:val="single" w:sz="4" w:space="0" w:color="auto"/>
            </w:tcBorders>
            <w:shd w:val="clear" w:color="auto" w:fill="auto"/>
            <w:noWrap/>
            <w:vAlign w:val="bottom"/>
            <w:hideMark/>
          </w:tcPr>
          <w:p w:rsidR="00534F9E" w:rsidRPr="00277A54" w:rsidRDefault="00534F9E" w:rsidP="00F47CDB">
            <w:pPr>
              <w:jc w:val="right"/>
              <w:rPr>
                <w:sz w:val="16"/>
                <w:szCs w:val="16"/>
              </w:rPr>
            </w:pPr>
            <w:r>
              <w:rPr>
                <w:sz w:val="16"/>
                <w:szCs w:val="16"/>
              </w:rPr>
              <w:t>13.348.545</w:t>
            </w:r>
          </w:p>
        </w:tc>
        <w:tc>
          <w:tcPr>
            <w:tcW w:w="1160" w:type="dxa"/>
            <w:tcBorders>
              <w:top w:val="nil"/>
              <w:left w:val="nil"/>
              <w:bottom w:val="single" w:sz="4" w:space="0" w:color="auto"/>
              <w:right w:val="single" w:sz="8" w:space="0" w:color="auto"/>
            </w:tcBorders>
            <w:shd w:val="clear" w:color="auto" w:fill="auto"/>
            <w:noWrap/>
            <w:vAlign w:val="bottom"/>
            <w:hideMark/>
          </w:tcPr>
          <w:p w:rsidR="00534F9E" w:rsidRPr="00277A54" w:rsidRDefault="00534F9E" w:rsidP="00F47CDB">
            <w:pPr>
              <w:jc w:val="right"/>
              <w:rPr>
                <w:sz w:val="16"/>
                <w:szCs w:val="16"/>
              </w:rPr>
            </w:pPr>
            <w:r>
              <w:rPr>
                <w:sz w:val="16"/>
                <w:szCs w:val="16"/>
              </w:rPr>
              <w:t>13.775.605</w:t>
            </w:r>
          </w:p>
        </w:tc>
      </w:tr>
      <w:tr w:rsidR="00534F9E" w:rsidRPr="00DC06D7" w:rsidTr="00F47CDB">
        <w:trPr>
          <w:trHeight w:val="270"/>
        </w:trPr>
        <w:tc>
          <w:tcPr>
            <w:tcW w:w="2633" w:type="dxa"/>
            <w:tcBorders>
              <w:top w:val="nil"/>
              <w:left w:val="single" w:sz="8" w:space="0" w:color="auto"/>
              <w:bottom w:val="double" w:sz="6" w:space="0" w:color="auto"/>
              <w:right w:val="single" w:sz="8" w:space="0" w:color="auto"/>
            </w:tcBorders>
            <w:shd w:val="clear" w:color="auto" w:fill="auto"/>
            <w:noWrap/>
            <w:vAlign w:val="bottom"/>
            <w:hideMark/>
          </w:tcPr>
          <w:p w:rsidR="00534F9E" w:rsidRPr="00DC06D7" w:rsidRDefault="00534F9E" w:rsidP="00F47CDB">
            <w:pPr>
              <w:rPr>
                <w:bCs/>
                <w:sz w:val="16"/>
                <w:szCs w:val="16"/>
                <w:lang w:val="hr-HR" w:eastAsia="hr-HR"/>
              </w:rPr>
            </w:pPr>
            <w:r w:rsidRPr="00DC06D7">
              <w:rPr>
                <w:bCs/>
                <w:sz w:val="16"/>
                <w:szCs w:val="16"/>
                <w:lang w:val="bs-Latn-BA" w:eastAsia="hr-HR"/>
              </w:rPr>
              <w:t>Procenat : godina / prethodna god</w:t>
            </w:r>
          </w:p>
        </w:tc>
        <w:tc>
          <w:tcPr>
            <w:tcW w:w="1160" w:type="dxa"/>
            <w:tcBorders>
              <w:top w:val="nil"/>
              <w:left w:val="nil"/>
              <w:bottom w:val="double" w:sz="6" w:space="0" w:color="auto"/>
              <w:right w:val="single" w:sz="8" w:space="0" w:color="auto"/>
            </w:tcBorders>
            <w:shd w:val="clear" w:color="auto" w:fill="auto"/>
            <w:noWrap/>
            <w:vAlign w:val="bottom"/>
            <w:hideMark/>
          </w:tcPr>
          <w:p w:rsidR="00534F9E" w:rsidRPr="00DC06D7" w:rsidRDefault="00534F9E" w:rsidP="00F47CDB">
            <w:pPr>
              <w:rPr>
                <w:sz w:val="16"/>
                <w:szCs w:val="16"/>
                <w:lang w:val="hr-HR" w:eastAsia="hr-HR"/>
              </w:rPr>
            </w:pPr>
            <w:r w:rsidRPr="00DC06D7">
              <w:rPr>
                <w:sz w:val="16"/>
                <w:szCs w:val="16"/>
                <w:lang w:eastAsia="hr-HR"/>
              </w:rPr>
              <w:t> </w:t>
            </w:r>
          </w:p>
        </w:tc>
        <w:tc>
          <w:tcPr>
            <w:tcW w:w="1160" w:type="dxa"/>
            <w:tcBorders>
              <w:top w:val="nil"/>
              <w:left w:val="nil"/>
              <w:bottom w:val="double" w:sz="6" w:space="0" w:color="auto"/>
              <w:right w:val="single" w:sz="8" w:space="0" w:color="auto"/>
            </w:tcBorders>
            <w:shd w:val="clear" w:color="auto" w:fill="auto"/>
            <w:noWrap/>
            <w:vAlign w:val="center"/>
            <w:hideMark/>
          </w:tcPr>
          <w:p w:rsidR="00534F9E" w:rsidRPr="00DC06D7" w:rsidRDefault="00534F9E" w:rsidP="00F47CDB">
            <w:pPr>
              <w:jc w:val="right"/>
              <w:rPr>
                <w:bCs/>
                <w:sz w:val="16"/>
                <w:szCs w:val="16"/>
                <w:lang w:val="hr-HR" w:eastAsia="hr-HR"/>
              </w:rPr>
            </w:pPr>
            <w:r>
              <w:rPr>
                <w:color w:val="000000"/>
                <w:sz w:val="16"/>
                <w:szCs w:val="16"/>
              </w:rPr>
              <w:t>69,48</w:t>
            </w:r>
          </w:p>
        </w:tc>
        <w:tc>
          <w:tcPr>
            <w:tcW w:w="1160" w:type="dxa"/>
            <w:tcBorders>
              <w:top w:val="nil"/>
              <w:left w:val="nil"/>
              <w:bottom w:val="double" w:sz="6" w:space="0" w:color="auto"/>
              <w:right w:val="single" w:sz="8" w:space="0" w:color="auto"/>
            </w:tcBorders>
            <w:shd w:val="clear" w:color="auto" w:fill="auto"/>
            <w:noWrap/>
            <w:vAlign w:val="center"/>
            <w:hideMark/>
          </w:tcPr>
          <w:p w:rsidR="00534F9E" w:rsidRPr="00DC06D7" w:rsidRDefault="00534F9E" w:rsidP="00F47CDB">
            <w:pPr>
              <w:jc w:val="right"/>
              <w:rPr>
                <w:bCs/>
                <w:sz w:val="16"/>
                <w:szCs w:val="16"/>
                <w:lang w:val="hr-HR" w:eastAsia="hr-HR"/>
              </w:rPr>
            </w:pPr>
            <w:r>
              <w:rPr>
                <w:color w:val="000000"/>
                <w:sz w:val="16"/>
                <w:szCs w:val="16"/>
              </w:rPr>
              <w:t>102,80</w:t>
            </w:r>
          </w:p>
        </w:tc>
        <w:tc>
          <w:tcPr>
            <w:tcW w:w="1160" w:type="dxa"/>
            <w:tcBorders>
              <w:top w:val="nil"/>
              <w:left w:val="nil"/>
              <w:bottom w:val="double" w:sz="6" w:space="0" w:color="auto"/>
              <w:right w:val="single" w:sz="8" w:space="0" w:color="auto"/>
            </w:tcBorders>
            <w:shd w:val="clear" w:color="auto" w:fill="auto"/>
            <w:noWrap/>
            <w:vAlign w:val="center"/>
            <w:hideMark/>
          </w:tcPr>
          <w:p w:rsidR="00534F9E" w:rsidRPr="00DC06D7" w:rsidRDefault="00534F9E" w:rsidP="00F47CDB">
            <w:pPr>
              <w:jc w:val="right"/>
              <w:rPr>
                <w:bCs/>
                <w:sz w:val="16"/>
                <w:szCs w:val="16"/>
                <w:lang w:val="hr-HR" w:eastAsia="hr-HR"/>
              </w:rPr>
            </w:pPr>
            <w:r>
              <w:rPr>
                <w:color w:val="000000"/>
                <w:sz w:val="16"/>
                <w:szCs w:val="16"/>
              </w:rPr>
              <w:t>103,10</w:t>
            </w:r>
          </w:p>
        </w:tc>
        <w:tc>
          <w:tcPr>
            <w:tcW w:w="1160" w:type="dxa"/>
            <w:tcBorders>
              <w:top w:val="nil"/>
              <w:left w:val="nil"/>
              <w:bottom w:val="double" w:sz="6" w:space="0" w:color="auto"/>
              <w:right w:val="single" w:sz="8" w:space="0" w:color="auto"/>
            </w:tcBorders>
            <w:shd w:val="clear" w:color="auto" w:fill="auto"/>
            <w:noWrap/>
            <w:vAlign w:val="center"/>
            <w:hideMark/>
          </w:tcPr>
          <w:p w:rsidR="00534F9E" w:rsidRPr="00DC06D7" w:rsidRDefault="00534F9E" w:rsidP="00F47CDB">
            <w:pPr>
              <w:jc w:val="right"/>
              <w:rPr>
                <w:bCs/>
                <w:sz w:val="16"/>
                <w:szCs w:val="16"/>
                <w:lang w:val="hr-HR" w:eastAsia="hr-HR"/>
              </w:rPr>
            </w:pPr>
            <w:r>
              <w:rPr>
                <w:color w:val="000000"/>
                <w:sz w:val="16"/>
                <w:szCs w:val="16"/>
              </w:rPr>
              <w:t>103,20</w:t>
            </w:r>
          </w:p>
        </w:tc>
      </w:tr>
      <w:tr w:rsidR="00534F9E" w:rsidRPr="00DC06D7" w:rsidTr="00F47CDB">
        <w:trPr>
          <w:trHeight w:val="285"/>
        </w:trPr>
        <w:tc>
          <w:tcPr>
            <w:tcW w:w="2633" w:type="dxa"/>
            <w:tcBorders>
              <w:top w:val="nil"/>
              <w:left w:val="single" w:sz="8" w:space="0" w:color="auto"/>
              <w:bottom w:val="single" w:sz="8" w:space="0" w:color="auto"/>
              <w:right w:val="single" w:sz="8" w:space="0" w:color="auto"/>
            </w:tcBorders>
            <w:shd w:val="clear" w:color="auto" w:fill="auto"/>
            <w:noWrap/>
            <w:vAlign w:val="bottom"/>
            <w:hideMark/>
          </w:tcPr>
          <w:p w:rsidR="00534F9E" w:rsidRPr="00DC06D7" w:rsidRDefault="00534F9E" w:rsidP="00F47CDB">
            <w:pPr>
              <w:rPr>
                <w:b/>
                <w:sz w:val="16"/>
                <w:szCs w:val="16"/>
                <w:lang w:val="hr-HR" w:eastAsia="hr-HR"/>
              </w:rPr>
            </w:pPr>
            <w:r w:rsidRPr="00DC06D7">
              <w:rPr>
                <w:b/>
                <w:sz w:val="16"/>
                <w:szCs w:val="16"/>
                <w:lang w:val="bs-Latn-BA" w:eastAsia="hr-HR"/>
              </w:rPr>
              <w:t>Općine</w:t>
            </w:r>
          </w:p>
        </w:tc>
        <w:tc>
          <w:tcPr>
            <w:tcW w:w="116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34F9E" w:rsidRPr="00DE6A82" w:rsidRDefault="00534F9E" w:rsidP="00F47CDB">
            <w:pPr>
              <w:jc w:val="right"/>
              <w:rPr>
                <w:sz w:val="16"/>
                <w:szCs w:val="16"/>
              </w:rPr>
            </w:pPr>
            <w:r>
              <w:rPr>
                <w:sz w:val="16"/>
                <w:szCs w:val="16"/>
              </w:rPr>
              <w:t>9.531.243</w:t>
            </w:r>
          </w:p>
        </w:tc>
        <w:tc>
          <w:tcPr>
            <w:tcW w:w="1160" w:type="dxa"/>
            <w:tcBorders>
              <w:top w:val="single" w:sz="4" w:space="0" w:color="auto"/>
              <w:left w:val="nil"/>
              <w:bottom w:val="single" w:sz="8" w:space="0" w:color="auto"/>
              <w:right w:val="single" w:sz="4" w:space="0" w:color="auto"/>
            </w:tcBorders>
            <w:shd w:val="clear" w:color="auto" w:fill="auto"/>
            <w:noWrap/>
            <w:vAlign w:val="bottom"/>
            <w:hideMark/>
          </w:tcPr>
          <w:p w:rsidR="00534F9E" w:rsidRPr="00DE6A82" w:rsidRDefault="00534F9E" w:rsidP="00F47CDB">
            <w:pPr>
              <w:jc w:val="right"/>
              <w:rPr>
                <w:sz w:val="16"/>
                <w:szCs w:val="16"/>
              </w:rPr>
            </w:pPr>
            <w:r>
              <w:rPr>
                <w:sz w:val="16"/>
                <w:szCs w:val="16"/>
              </w:rPr>
              <w:t>6.621.983</w:t>
            </w:r>
          </w:p>
        </w:tc>
        <w:tc>
          <w:tcPr>
            <w:tcW w:w="1160" w:type="dxa"/>
            <w:tcBorders>
              <w:top w:val="single" w:sz="4" w:space="0" w:color="auto"/>
              <w:left w:val="nil"/>
              <w:bottom w:val="single" w:sz="8" w:space="0" w:color="auto"/>
              <w:right w:val="single" w:sz="4" w:space="0" w:color="auto"/>
            </w:tcBorders>
            <w:shd w:val="clear" w:color="auto" w:fill="auto"/>
            <w:noWrap/>
            <w:vAlign w:val="bottom"/>
            <w:hideMark/>
          </w:tcPr>
          <w:p w:rsidR="00534F9E" w:rsidRPr="00DE6A82" w:rsidRDefault="00534F9E" w:rsidP="00F47CDB">
            <w:pPr>
              <w:jc w:val="right"/>
              <w:rPr>
                <w:sz w:val="16"/>
                <w:szCs w:val="16"/>
              </w:rPr>
            </w:pPr>
            <w:r>
              <w:rPr>
                <w:sz w:val="16"/>
                <w:szCs w:val="16"/>
              </w:rPr>
              <w:t>6.807.398</w:t>
            </w:r>
          </w:p>
        </w:tc>
        <w:tc>
          <w:tcPr>
            <w:tcW w:w="1160" w:type="dxa"/>
            <w:tcBorders>
              <w:top w:val="single" w:sz="4" w:space="0" w:color="auto"/>
              <w:left w:val="nil"/>
              <w:bottom w:val="single" w:sz="8" w:space="0" w:color="auto"/>
              <w:right w:val="single" w:sz="4" w:space="0" w:color="auto"/>
            </w:tcBorders>
            <w:shd w:val="clear" w:color="auto" w:fill="auto"/>
            <w:noWrap/>
            <w:vAlign w:val="bottom"/>
            <w:hideMark/>
          </w:tcPr>
          <w:p w:rsidR="00534F9E" w:rsidRPr="00DE6A82" w:rsidRDefault="00534F9E" w:rsidP="00F47CDB">
            <w:pPr>
              <w:jc w:val="right"/>
              <w:rPr>
                <w:sz w:val="16"/>
                <w:szCs w:val="16"/>
              </w:rPr>
            </w:pPr>
            <w:r>
              <w:rPr>
                <w:sz w:val="16"/>
                <w:szCs w:val="16"/>
              </w:rPr>
              <w:t>7.018.428</w:t>
            </w:r>
          </w:p>
        </w:tc>
        <w:tc>
          <w:tcPr>
            <w:tcW w:w="1160" w:type="dxa"/>
            <w:tcBorders>
              <w:top w:val="single" w:sz="4" w:space="0" w:color="auto"/>
              <w:left w:val="nil"/>
              <w:bottom w:val="single" w:sz="8" w:space="0" w:color="auto"/>
              <w:right w:val="single" w:sz="8" w:space="0" w:color="auto"/>
            </w:tcBorders>
            <w:shd w:val="clear" w:color="auto" w:fill="auto"/>
            <w:noWrap/>
            <w:vAlign w:val="bottom"/>
            <w:hideMark/>
          </w:tcPr>
          <w:p w:rsidR="00534F9E" w:rsidRPr="00DE6A82" w:rsidRDefault="00534F9E" w:rsidP="00F47CDB">
            <w:pPr>
              <w:jc w:val="right"/>
              <w:rPr>
                <w:sz w:val="16"/>
                <w:szCs w:val="16"/>
              </w:rPr>
            </w:pPr>
            <w:r>
              <w:rPr>
                <w:sz w:val="16"/>
                <w:szCs w:val="16"/>
              </w:rPr>
              <w:t>7.243.017</w:t>
            </w:r>
          </w:p>
        </w:tc>
      </w:tr>
      <w:tr w:rsidR="00534F9E" w:rsidRPr="00DC06D7" w:rsidTr="00F47CDB">
        <w:trPr>
          <w:trHeight w:val="270"/>
        </w:trPr>
        <w:tc>
          <w:tcPr>
            <w:tcW w:w="2633" w:type="dxa"/>
            <w:tcBorders>
              <w:top w:val="nil"/>
              <w:left w:val="single" w:sz="8" w:space="0" w:color="auto"/>
              <w:bottom w:val="single" w:sz="8" w:space="0" w:color="auto"/>
              <w:right w:val="single" w:sz="8" w:space="0" w:color="auto"/>
            </w:tcBorders>
            <w:shd w:val="clear" w:color="auto" w:fill="auto"/>
            <w:noWrap/>
            <w:vAlign w:val="bottom"/>
            <w:hideMark/>
          </w:tcPr>
          <w:p w:rsidR="00534F9E" w:rsidRPr="00DC06D7" w:rsidRDefault="00534F9E" w:rsidP="00F47CDB">
            <w:pPr>
              <w:rPr>
                <w:bCs/>
                <w:sz w:val="16"/>
                <w:szCs w:val="16"/>
                <w:lang w:val="hr-HR" w:eastAsia="hr-HR"/>
              </w:rPr>
            </w:pPr>
            <w:r w:rsidRPr="00DC06D7">
              <w:rPr>
                <w:bCs/>
                <w:sz w:val="16"/>
                <w:szCs w:val="16"/>
                <w:lang w:val="bs-Latn-BA" w:eastAsia="hr-HR"/>
              </w:rPr>
              <w:t>Procenat : godina / prethodna god</w:t>
            </w:r>
          </w:p>
        </w:tc>
        <w:tc>
          <w:tcPr>
            <w:tcW w:w="1160" w:type="dxa"/>
            <w:tcBorders>
              <w:top w:val="nil"/>
              <w:left w:val="nil"/>
              <w:bottom w:val="single" w:sz="8" w:space="0" w:color="auto"/>
              <w:right w:val="single" w:sz="8" w:space="0" w:color="auto"/>
            </w:tcBorders>
            <w:shd w:val="clear" w:color="auto" w:fill="auto"/>
            <w:noWrap/>
            <w:vAlign w:val="bottom"/>
            <w:hideMark/>
          </w:tcPr>
          <w:p w:rsidR="00534F9E" w:rsidRPr="00DC06D7" w:rsidRDefault="00534F9E" w:rsidP="00F47CDB">
            <w:pPr>
              <w:rPr>
                <w:b/>
                <w:bCs/>
                <w:sz w:val="16"/>
                <w:szCs w:val="16"/>
                <w:lang w:val="hr-HR" w:eastAsia="hr-HR"/>
              </w:rPr>
            </w:pPr>
            <w:r w:rsidRPr="00DC06D7">
              <w:rPr>
                <w:b/>
                <w:bCs/>
                <w:sz w:val="16"/>
                <w:szCs w:val="16"/>
                <w:lang w:eastAsia="bs-Latn-BA"/>
              </w:rPr>
              <w:t> </w:t>
            </w:r>
          </w:p>
        </w:tc>
        <w:tc>
          <w:tcPr>
            <w:tcW w:w="1160" w:type="dxa"/>
            <w:tcBorders>
              <w:top w:val="nil"/>
              <w:left w:val="nil"/>
              <w:bottom w:val="double" w:sz="6" w:space="0" w:color="auto"/>
              <w:right w:val="single" w:sz="8" w:space="0" w:color="auto"/>
            </w:tcBorders>
            <w:shd w:val="clear" w:color="auto" w:fill="auto"/>
            <w:noWrap/>
            <w:vAlign w:val="center"/>
            <w:hideMark/>
          </w:tcPr>
          <w:p w:rsidR="00534F9E" w:rsidRPr="00DC06D7" w:rsidRDefault="00534F9E" w:rsidP="00F47CDB">
            <w:pPr>
              <w:jc w:val="right"/>
              <w:rPr>
                <w:bCs/>
                <w:sz w:val="16"/>
                <w:szCs w:val="16"/>
                <w:lang w:val="hr-HR" w:eastAsia="hr-HR"/>
              </w:rPr>
            </w:pPr>
            <w:r>
              <w:rPr>
                <w:color w:val="000000"/>
                <w:sz w:val="16"/>
                <w:szCs w:val="16"/>
              </w:rPr>
              <w:t>69,48</w:t>
            </w:r>
          </w:p>
        </w:tc>
        <w:tc>
          <w:tcPr>
            <w:tcW w:w="1160" w:type="dxa"/>
            <w:tcBorders>
              <w:top w:val="nil"/>
              <w:left w:val="nil"/>
              <w:bottom w:val="double" w:sz="6" w:space="0" w:color="auto"/>
              <w:right w:val="single" w:sz="8" w:space="0" w:color="auto"/>
            </w:tcBorders>
            <w:shd w:val="clear" w:color="auto" w:fill="auto"/>
            <w:noWrap/>
            <w:vAlign w:val="center"/>
            <w:hideMark/>
          </w:tcPr>
          <w:p w:rsidR="00534F9E" w:rsidRPr="00DC06D7" w:rsidRDefault="00534F9E" w:rsidP="00F47CDB">
            <w:pPr>
              <w:jc w:val="right"/>
              <w:rPr>
                <w:bCs/>
                <w:sz w:val="16"/>
                <w:szCs w:val="16"/>
                <w:lang w:val="hr-HR" w:eastAsia="hr-HR"/>
              </w:rPr>
            </w:pPr>
            <w:r>
              <w:rPr>
                <w:color w:val="000000"/>
                <w:sz w:val="16"/>
                <w:szCs w:val="16"/>
              </w:rPr>
              <w:t>102,80</w:t>
            </w:r>
          </w:p>
        </w:tc>
        <w:tc>
          <w:tcPr>
            <w:tcW w:w="1160" w:type="dxa"/>
            <w:tcBorders>
              <w:top w:val="nil"/>
              <w:left w:val="nil"/>
              <w:bottom w:val="double" w:sz="6" w:space="0" w:color="auto"/>
              <w:right w:val="single" w:sz="8" w:space="0" w:color="auto"/>
            </w:tcBorders>
            <w:shd w:val="clear" w:color="auto" w:fill="auto"/>
            <w:noWrap/>
            <w:vAlign w:val="center"/>
            <w:hideMark/>
          </w:tcPr>
          <w:p w:rsidR="00534F9E" w:rsidRPr="00DC06D7" w:rsidRDefault="00534F9E" w:rsidP="00F47CDB">
            <w:pPr>
              <w:jc w:val="right"/>
              <w:rPr>
                <w:bCs/>
                <w:sz w:val="16"/>
                <w:szCs w:val="16"/>
                <w:lang w:val="hr-HR" w:eastAsia="hr-HR"/>
              </w:rPr>
            </w:pPr>
            <w:r>
              <w:rPr>
                <w:color w:val="000000"/>
                <w:sz w:val="16"/>
                <w:szCs w:val="16"/>
              </w:rPr>
              <w:t>103,10</w:t>
            </w:r>
          </w:p>
        </w:tc>
        <w:tc>
          <w:tcPr>
            <w:tcW w:w="1160" w:type="dxa"/>
            <w:tcBorders>
              <w:top w:val="nil"/>
              <w:left w:val="nil"/>
              <w:bottom w:val="double" w:sz="6" w:space="0" w:color="auto"/>
              <w:right w:val="single" w:sz="8" w:space="0" w:color="auto"/>
            </w:tcBorders>
            <w:shd w:val="clear" w:color="auto" w:fill="auto"/>
            <w:noWrap/>
            <w:vAlign w:val="center"/>
            <w:hideMark/>
          </w:tcPr>
          <w:p w:rsidR="00534F9E" w:rsidRPr="00DC06D7" w:rsidRDefault="00534F9E" w:rsidP="00F47CDB">
            <w:pPr>
              <w:jc w:val="right"/>
              <w:rPr>
                <w:bCs/>
                <w:sz w:val="16"/>
                <w:szCs w:val="16"/>
                <w:lang w:val="hr-HR" w:eastAsia="hr-HR"/>
              </w:rPr>
            </w:pPr>
            <w:r>
              <w:rPr>
                <w:color w:val="000000"/>
                <w:sz w:val="16"/>
                <w:szCs w:val="16"/>
              </w:rPr>
              <w:t>103,20</w:t>
            </w:r>
          </w:p>
        </w:tc>
      </w:tr>
    </w:tbl>
    <w:p w:rsidR="00534F9E" w:rsidRPr="00DC06D7" w:rsidRDefault="00534F9E" w:rsidP="00534F9E">
      <w:pPr>
        <w:ind w:firstLine="720"/>
        <w:jc w:val="both"/>
        <w:rPr>
          <w:b/>
          <w:szCs w:val="24"/>
          <w:lang w:val="hr-HR"/>
        </w:rPr>
      </w:pPr>
    </w:p>
    <w:p w:rsidR="00534F9E" w:rsidRPr="008B7F3E" w:rsidRDefault="00534F9E" w:rsidP="00534F9E">
      <w:pPr>
        <w:ind w:firstLine="720"/>
        <w:jc w:val="both"/>
        <w:rPr>
          <w:sz w:val="24"/>
          <w:szCs w:val="24"/>
          <w:lang w:val="hr-HR"/>
        </w:rPr>
      </w:pPr>
      <w:r w:rsidRPr="00DC06D7">
        <w:rPr>
          <w:sz w:val="24"/>
          <w:szCs w:val="24"/>
          <w:lang w:val="hr-HR"/>
        </w:rPr>
        <w:t>Revidirane projekcije za 20</w:t>
      </w:r>
      <w:r>
        <w:rPr>
          <w:sz w:val="24"/>
          <w:szCs w:val="24"/>
          <w:lang w:val="hr-HR"/>
        </w:rPr>
        <w:t>20</w:t>
      </w:r>
      <w:r w:rsidRPr="00DC06D7">
        <w:rPr>
          <w:sz w:val="24"/>
          <w:szCs w:val="24"/>
          <w:lang w:val="hr-HR"/>
        </w:rPr>
        <w:t>. godinu zasnovane su na izvršenju prihoda po osnovu poreza na dohodak u periodu januar –</w:t>
      </w:r>
      <w:r>
        <w:rPr>
          <w:sz w:val="24"/>
          <w:szCs w:val="24"/>
          <w:lang w:val="hr-HR"/>
        </w:rPr>
        <w:t xml:space="preserve"> </w:t>
      </w:r>
      <w:r w:rsidRPr="00DC06D7">
        <w:rPr>
          <w:sz w:val="24"/>
          <w:szCs w:val="24"/>
          <w:lang w:val="hr-HR"/>
        </w:rPr>
        <w:t>mart 20</w:t>
      </w:r>
      <w:r>
        <w:rPr>
          <w:sz w:val="24"/>
          <w:szCs w:val="24"/>
          <w:lang w:val="hr-HR"/>
        </w:rPr>
        <w:t>20</w:t>
      </w:r>
      <w:r w:rsidRPr="00DC06D7">
        <w:rPr>
          <w:sz w:val="24"/>
          <w:szCs w:val="24"/>
          <w:lang w:val="hr-HR"/>
        </w:rPr>
        <w:t>. godine i očekivanom planu ostvarenja do kraja godine</w:t>
      </w:r>
      <w:r>
        <w:rPr>
          <w:sz w:val="24"/>
          <w:szCs w:val="24"/>
          <w:lang w:val="hr-HR"/>
        </w:rPr>
        <w:t xml:space="preserve"> uzimajući u obzir posljedice pandemije coronavirusa na ekonomiju Federacije BiH</w:t>
      </w:r>
      <w:r w:rsidRPr="00DC06D7">
        <w:rPr>
          <w:sz w:val="24"/>
          <w:szCs w:val="24"/>
          <w:lang w:val="hr-HR"/>
        </w:rPr>
        <w:t xml:space="preserve">. U </w:t>
      </w:r>
      <w:r w:rsidRPr="00DC06D7">
        <w:rPr>
          <w:sz w:val="24"/>
          <w:szCs w:val="24"/>
          <w:lang w:val="hr-HR"/>
        </w:rPr>
        <w:lastRenderedPageBreak/>
        <w:t xml:space="preserve">tabeli su </w:t>
      </w:r>
      <w:r>
        <w:rPr>
          <w:sz w:val="24"/>
          <w:szCs w:val="24"/>
          <w:lang w:val="hr-HR"/>
        </w:rPr>
        <w:t xml:space="preserve"> dati </w:t>
      </w:r>
      <w:r w:rsidRPr="00DC06D7">
        <w:rPr>
          <w:sz w:val="24"/>
          <w:szCs w:val="24"/>
          <w:lang w:val="hr-HR"/>
        </w:rPr>
        <w:t>podaci za naplaćene prihode poreza na dohodak na području USK-a za 201</w:t>
      </w:r>
      <w:r>
        <w:rPr>
          <w:sz w:val="24"/>
          <w:szCs w:val="24"/>
          <w:lang w:val="hr-HR"/>
        </w:rPr>
        <w:t>9</w:t>
      </w:r>
      <w:r w:rsidRPr="00DC06D7">
        <w:rPr>
          <w:sz w:val="24"/>
          <w:szCs w:val="24"/>
          <w:lang w:val="hr-HR"/>
        </w:rPr>
        <w:t>. godinu, kao i revidirane projekcije prihoda za 20</w:t>
      </w:r>
      <w:r>
        <w:rPr>
          <w:sz w:val="24"/>
          <w:szCs w:val="24"/>
          <w:lang w:val="hr-HR"/>
        </w:rPr>
        <w:t>21</w:t>
      </w:r>
      <w:r w:rsidRPr="00DC06D7">
        <w:rPr>
          <w:sz w:val="24"/>
          <w:szCs w:val="24"/>
          <w:lang w:val="hr-HR"/>
        </w:rPr>
        <w:t>. -20</w:t>
      </w:r>
      <w:r>
        <w:rPr>
          <w:sz w:val="24"/>
          <w:szCs w:val="24"/>
          <w:lang w:val="hr-HR"/>
        </w:rPr>
        <w:t>23</w:t>
      </w:r>
      <w:r w:rsidRPr="00DC06D7">
        <w:rPr>
          <w:sz w:val="24"/>
          <w:szCs w:val="24"/>
          <w:lang w:val="hr-HR"/>
        </w:rPr>
        <w:t xml:space="preserve">. godinu. </w:t>
      </w:r>
    </w:p>
    <w:p w:rsidR="00534F9E" w:rsidRPr="00DD49C8" w:rsidRDefault="00534F9E" w:rsidP="00534F9E">
      <w:pPr>
        <w:pStyle w:val="Heading4"/>
        <w:rPr>
          <w:sz w:val="24"/>
          <w:szCs w:val="24"/>
          <w:lang w:val="hr-HR"/>
        </w:rPr>
      </w:pPr>
      <w:bookmarkStart w:id="69" w:name="_Toc9858440"/>
      <w:r w:rsidRPr="00DD49C8">
        <w:rPr>
          <w:sz w:val="24"/>
          <w:szCs w:val="24"/>
          <w:lang w:val="hr-HR"/>
        </w:rPr>
        <w:t>Porez na dobit</w:t>
      </w:r>
      <w:bookmarkEnd w:id="69"/>
    </w:p>
    <w:p w:rsidR="00534F9E" w:rsidRDefault="00534F9E" w:rsidP="00534F9E">
      <w:pPr>
        <w:ind w:firstLine="720"/>
        <w:jc w:val="both"/>
        <w:rPr>
          <w:sz w:val="24"/>
          <w:szCs w:val="24"/>
          <w:lang w:val="hr-HR"/>
        </w:rPr>
      </w:pPr>
      <w:r w:rsidRPr="00DC06D7">
        <w:rPr>
          <w:sz w:val="24"/>
          <w:szCs w:val="24"/>
          <w:lang w:val="hr-HR"/>
        </w:rPr>
        <w:t xml:space="preserve">Procjena prihoda po osnovu poreza na dobit rađene su na bazi historijskog trenda ostvarenja i procjene kretanja makroekonomskih pokazatelja preuzetih od DEP-a, a uključuju </w:t>
      </w:r>
      <w:r>
        <w:rPr>
          <w:sz w:val="24"/>
          <w:szCs w:val="24"/>
          <w:lang w:val="hr-HR"/>
        </w:rPr>
        <w:t>posljedice prouzrokovane pandemijom coronavirusa na ekonomiju Federacije BiH.</w:t>
      </w:r>
    </w:p>
    <w:p w:rsidR="00534F9E" w:rsidRDefault="00534F9E" w:rsidP="00534F9E">
      <w:pPr>
        <w:jc w:val="both"/>
        <w:rPr>
          <w:b/>
          <w:sz w:val="20"/>
          <w:lang w:val="hr-HR"/>
        </w:rPr>
      </w:pPr>
    </w:p>
    <w:p w:rsidR="00534F9E" w:rsidRPr="00B20D5D" w:rsidRDefault="00534F9E" w:rsidP="00534F9E">
      <w:pPr>
        <w:jc w:val="both"/>
        <w:rPr>
          <w:b/>
          <w:sz w:val="20"/>
          <w:lang w:val="hr-HR"/>
        </w:rPr>
      </w:pPr>
      <w:r w:rsidRPr="00B20D5D">
        <w:rPr>
          <w:b/>
          <w:sz w:val="20"/>
          <w:lang w:val="hr-HR"/>
        </w:rPr>
        <w:t>Tabela: R</w:t>
      </w:r>
      <w:r w:rsidRPr="00B20D5D">
        <w:rPr>
          <w:b/>
          <w:bCs/>
          <w:sz w:val="20"/>
          <w:lang w:val="hr-HR" w:eastAsia="hr-HR"/>
        </w:rPr>
        <w:t>evidirana projekcija</w:t>
      </w:r>
      <w:r>
        <w:rPr>
          <w:b/>
          <w:bCs/>
          <w:sz w:val="20"/>
          <w:lang w:val="hr-HR" w:eastAsia="hr-HR"/>
        </w:rPr>
        <w:t xml:space="preserve"> po osnovu poreza na dobit,</w:t>
      </w:r>
      <w:r w:rsidRPr="00B20D5D">
        <w:rPr>
          <w:b/>
          <w:bCs/>
          <w:sz w:val="20"/>
          <w:lang w:val="hr-HR" w:eastAsia="hr-HR"/>
        </w:rPr>
        <w:t xml:space="preserve"> za 20</w:t>
      </w:r>
      <w:r>
        <w:rPr>
          <w:b/>
          <w:bCs/>
          <w:sz w:val="20"/>
          <w:lang w:val="hr-HR" w:eastAsia="hr-HR"/>
        </w:rPr>
        <w:t>20</w:t>
      </w:r>
      <w:r w:rsidRPr="00B20D5D">
        <w:rPr>
          <w:b/>
          <w:bCs/>
          <w:sz w:val="20"/>
          <w:lang w:val="hr-HR" w:eastAsia="hr-HR"/>
        </w:rPr>
        <w:t>. godinu - plan za period 20</w:t>
      </w:r>
      <w:r>
        <w:rPr>
          <w:b/>
          <w:bCs/>
          <w:sz w:val="20"/>
          <w:lang w:val="hr-HR" w:eastAsia="hr-HR"/>
        </w:rPr>
        <w:t>21</w:t>
      </w:r>
      <w:r w:rsidRPr="00B20D5D">
        <w:rPr>
          <w:b/>
          <w:bCs/>
          <w:sz w:val="20"/>
          <w:lang w:val="hr-HR" w:eastAsia="hr-HR"/>
        </w:rPr>
        <w:t>-202</w:t>
      </w:r>
      <w:r>
        <w:rPr>
          <w:b/>
          <w:bCs/>
          <w:sz w:val="20"/>
          <w:lang w:val="hr-HR" w:eastAsia="hr-HR"/>
        </w:rPr>
        <w:t>3</w:t>
      </w:r>
      <w:r w:rsidRPr="00B20D5D">
        <w:rPr>
          <w:b/>
          <w:bCs/>
          <w:sz w:val="20"/>
          <w:lang w:val="hr-HR" w:eastAsia="hr-HR"/>
        </w:rPr>
        <w:t>.</w:t>
      </w:r>
    </w:p>
    <w:tbl>
      <w:tblPr>
        <w:tblW w:w="8080" w:type="dxa"/>
        <w:tblInd w:w="94" w:type="dxa"/>
        <w:tblLayout w:type="fixed"/>
        <w:tblLook w:val="04A0"/>
      </w:tblPr>
      <w:tblGrid>
        <w:gridCol w:w="2306"/>
        <w:gridCol w:w="1054"/>
        <w:gridCol w:w="1180"/>
        <w:gridCol w:w="1180"/>
        <w:gridCol w:w="1180"/>
        <w:gridCol w:w="1180"/>
      </w:tblGrid>
      <w:tr w:rsidR="00534F9E" w:rsidRPr="00DC06D7" w:rsidTr="00F47CDB">
        <w:trPr>
          <w:trHeight w:val="270"/>
        </w:trPr>
        <w:tc>
          <w:tcPr>
            <w:tcW w:w="2306"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534F9E" w:rsidRPr="00DC06D7" w:rsidRDefault="00534F9E" w:rsidP="00F47CDB">
            <w:pPr>
              <w:jc w:val="center"/>
              <w:rPr>
                <w:b/>
                <w:bCs/>
                <w:sz w:val="18"/>
                <w:szCs w:val="18"/>
                <w:lang w:val="hr-HR" w:eastAsia="hr-HR"/>
              </w:rPr>
            </w:pPr>
            <w:r w:rsidRPr="00DC06D7">
              <w:rPr>
                <w:b/>
                <w:bCs/>
                <w:sz w:val="18"/>
                <w:szCs w:val="18"/>
                <w:lang w:val="bs-Latn-BA" w:eastAsia="bs-Latn-BA"/>
              </w:rPr>
              <w:t xml:space="preserve">Vrsta prihoda </w:t>
            </w:r>
          </w:p>
        </w:tc>
        <w:tc>
          <w:tcPr>
            <w:tcW w:w="1054" w:type="dxa"/>
            <w:tcBorders>
              <w:top w:val="single" w:sz="8" w:space="0" w:color="auto"/>
              <w:left w:val="nil"/>
              <w:bottom w:val="single" w:sz="8" w:space="0" w:color="auto"/>
              <w:right w:val="nil"/>
            </w:tcBorders>
            <w:shd w:val="clear" w:color="auto" w:fill="auto"/>
            <w:noWrap/>
            <w:vAlign w:val="bottom"/>
            <w:hideMark/>
          </w:tcPr>
          <w:p w:rsidR="00534F9E" w:rsidRPr="00DC06D7" w:rsidRDefault="00534F9E" w:rsidP="00F47CDB">
            <w:pPr>
              <w:rPr>
                <w:b/>
                <w:bCs/>
                <w:sz w:val="18"/>
                <w:szCs w:val="18"/>
                <w:lang w:val="hr-HR" w:eastAsia="hr-HR"/>
              </w:rPr>
            </w:pPr>
            <w:r w:rsidRPr="00DC06D7">
              <w:rPr>
                <w:b/>
                <w:bCs/>
                <w:sz w:val="18"/>
                <w:szCs w:val="18"/>
                <w:lang w:val="bs-Latn-BA" w:eastAsia="bs-Latn-BA"/>
              </w:rPr>
              <w:t xml:space="preserve">Izvršenje </w:t>
            </w:r>
          </w:p>
        </w:tc>
        <w:tc>
          <w:tcPr>
            <w:tcW w:w="472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34F9E" w:rsidRPr="00DC06D7" w:rsidRDefault="00534F9E" w:rsidP="00F47CDB">
            <w:pPr>
              <w:jc w:val="center"/>
              <w:rPr>
                <w:b/>
                <w:bCs/>
                <w:sz w:val="18"/>
                <w:szCs w:val="18"/>
                <w:lang w:val="hr-HR" w:eastAsia="hr-HR"/>
              </w:rPr>
            </w:pPr>
            <w:r w:rsidRPr="00DC06D7">
              <w:rPr>
                <w:b/>
                <w:bCs/>
                <w:sz w:val="18"/>
                <w:szCs w:val="18"/>
                <w:lang w:val="bs-Latn-BA" w:eastAsia="bs-Latn-BA"/>
              </w:rPr>
              <w:t>Procjena</w:t>
            </w:r>
          </w:p>
        </w:tc>
      </w:tr>
      <w:tr w:rsidR="00534F9E" w:rsidRPr="00DC06D7" w:rsidTr="00F47CDB">
        <w:trPr>
          <w:trHeight w:val="270"/>
        </w:trPr>
        <w:tc>
          <w:tcPr>
            <w:tcW w:w="2306" w:type="dxa"/>
            <w:vMerge/>
            <w:tcBorders>
              <w:top w:val="single" w:sz="8" w:space="0" w:color="auto"/>
              <w:left w:val="single" w:sz="8" w:space="0" w:color="auto"/>
              <w:bottom w:val="single" w:sz="8" w:space="0" w:color="000000"/>
              <w:right w:val="single" w:sz="8" w:space="0" w:color="auto"/>
            </w:tcBorders>
            <w:vAlign w:val="center"/>
            <w:hideMark/>
          </w:tcPr>
          <w:p w:rsidR="00534F9E" w:rsidRPr="00DC06D7" w:rsidRDefault="00534F9E" w:rsidP="00F47CDB">
            <w:pPr>
              <w:rPr>
                <w:b/>
                <w:bCs/>
                <w:sz w:val="18"/>
                <w:szCs w:val="18"/>
                <w:lang w:val="hr-HR" w:eastAsia="hr-HR"/>
              </w:rPr>
            </w:pPr>
          </w:p>
        </w:tc>
        <w:tc>
          <w:tcPr>
            <w:tcW w:w="1054" w:type="dxa"/>
            <w:tcBorders>
              <w:top w:val="nil"/>
              <w:left w:val="nil"/>
              <w:bottom w:val="single" w:sz="8" w:space="0" w:color="auto"/>
              <w:right w:val="single" w:sz="8" w:space="0" w:color="auto"/>
            </w:tcBorders>
            <w:shd w:val="clear" w:color="auto" w:fill="auto"/>
            <w:vAlign w:val="bottom"/>
            <w:hideMark/>
          </w:tcPr>
          <w:p w:rsidR="00534F9E" w:rsidRPr="00DC06D7" w:rsidRDefault="00534F9E" w:rsidP="00F47CDB">
            <w:pPr>
              <w:jc w:val="center"/>
              <w:rPr>
                <w:b/>
                <w:bCs/>
                <w:sz w:val="18"/>
                <w:szCs w:val="18"/>
                <w:lang w:val="hr-HR" w:eastAsia="hr-HR"/>
              </w:rPr>
            </w:pPr>
            <w:r w:rsidRPr="00DC06D7">
              <w:rPr>
                <w:b/>
                <w:bCs/>
                <w:sz w:val="18"/>
                <w:szCs w:val="18"/>
                <w:lang w:val="bs-Latn-BA" w:eastAsia="bs-Latn-BA"/>
              </w:rPr>
              <w:t>201</w:t>
            </w:r>
            <w:r>
              <w:rPr>
                <w:b/>
                <w:bCs/>
                <w:sz w:val="18"/>
                <w:szCs w:val="18"/>
                <w:lang w:val="bs-Latn-BA" w:eastAsia="bs-Latn-BA"/>
              </w:rPr>
              <w:t>9</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4F9E" w:rsidRPr="00DC06D7" w:rsidRDefault="00534F9E" w:rsidP="00F47CDB">
            <w:pPr>
              <w:jc w:val="center"/>
              <w:rPr>
                <w:b/>
                <w:bCs/>
                <w:sz w:val="18"/>
                <w:szCs w:val="18"/>
                <w:lang w:val="hr-HR" w:eastAsia="hr-HR"/>
              </w:rPr>
            </w:pPr>
            <w:r w:rsidRPr="00DC06D7">
              <w:rPr>
                <w:b/>
                <w:bCs/>
                <w:sz w:val="18"/>
                <w:szCs w:val="18"/>
                <w:lang w:val="hr-HR" w:eastAsia="hr-HR"/>
              </w:rPr>
              <w:t>2</w:t>
            </w:r>
            <w:r>
              <w:rPr>
                <w:b/>
                <w:bCs/>
                <w:sz w:val="18"/>
                <w:szCs w:val="18"/>
                <w:lang w:val="hr-HR" w:eastAsia="hr-HR"/>
              </w:rPr>
              <w:t>020</w:t>
            </w:r>
            <w:r w:rsidRPr="00DC06D7">
              <w:rPr>
                <w:b/>
                <w:bCs/>
                <w:sz w:val="18"/>
                <w:szCs w:val="18"/>
                <w:lang w:val="hr-HR" w:eastAsia="hr-HR"/>
              </w:rPr>
              <w: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534F9E" w:rsidRPr="00DC06D7" w:rsidRDefault="00534F9E" w:rsidP="00F47CDB">
            <w:pPr>
              <w:jc w:val="center"/>
              <w:rPr>
                <w:b/>
                <w:bCs/>
                <w:sz w:val="18"/>
                <w:szCs w:val="18"/>
                <w:lang w:val="hr-HR" w:eastAsia="hr-HR"/>
              </w:rPr>
            </w:pPr>
            <w:r>
              <w:rPr>
                <w:b/>
                <w:bCs/>
                <w:sz w:val="18"/>
                <w:szCs w:val="18"/>
                <w:lang w:val="hr-HR" w:eastAsia="hr-HR"/>
              </w:rPr>
              <w:t>2021</w:t>
            </w:r>
            <w:r w:rsidRPr="00DC06D7">
              <w:rPr>
                <w:b/>
                <w:bCs/>
                <w:sz w:val="18"/>
                <w:szCs w:val="18"/>
                <w:lang w:val="hr-HR" w:eastAsia="hr-HR"/>
              </w:rPr>
              <w: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534F9E" w:rsidRPr="00DC06D7" w:rsidRDefault="00534F9E" w:rsidP="00F47CDB">
            <w:pPr>
              <w:jc w:val="center"/>
              <w:rPr>
                <w:b/>
                <w:bCs/>
                <w:sz w:val="18"/>
                <w:szCs w:val="18"/>
                <w:lang w:val="hr-HR" w:eastAsia="hr-HR"/>
              </w:rPr>
            </w:pPr>
            <w:r>
              <w:rPr>
                <w:b/>
                <w:bCs/>
                <w:sz w:val="18"/>
                <w:szCs w:val="18"/>
                <w:lang w:val="hr-HR" w:eastAsia="hr-HR"/>
              </w:rPr>
              <w:t>2022</w:t>
            </w:r>
            <w:r w:rsidRPr="00DC06D7">
              <w:rPr>
                <w:b/>
                <w:bCs/>
                <w:sz w:val="18"/>
                <w:szCs w:val="18"/>
                <w:lang w:val="hr-HR" w:eastAsia="hr-HR"/>
              </w:rPr>
              <w: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534F9E" w:rsidRPr="00DC06D7" w:rsidRDefault="00534F9E" w:rsidP="00F47CDB">
            <w:pPr>
              <w:jc w:val="center"/>
              <w:rPr>
                <w:b/>
                <w:bCs/>
                <w:sz w:val="18"/>
                <w:szCs w:val="18"/>
                <w:lang w:val="hr-HR" w:eastAsia="hr-HR"/>
              </w:rPr>
            </w:pPr>
            <w:r>
              <w:rPr>
                <w:b/>
                <w:bCs/>
                <w:sz w:val="18"/>
                <w:szCs w:val="18"/>
                <w:lang w:val="hr-HR" w:eastAsia="hr-HR"/>
              </w:rPr>
              <w:t>2023</w:t>
            </w:r>
            <w:r w:rsidRPr="00DC06D7">
              <w:rPr>
                <w:b/>
                <w:bCs/>
                <w:sz w:val="18"/>
                <w:szCs w:val="18"/>
                <w:lang w:val="hr-HR" w:eastAsia="hr-HR"/>
              </w:rPr>
              <w:t>.</w:t>
            </w:r>
          </w:p>
        </w:tc>
      </w:tr>
      <w:tr w:rsidR="00534F9E" w:rsidRPr="00DC06D7" w:rsidTr="00F47CDB">
        <w:trPr>
          <w:trHeight w:val="270"/>
        </w:trPr>
        <w:tc>
          <w:tcPr>
            <w:tcW w:w="2306" w:type="dxa"/>
            <w:tcBorders>
              <w:top w:val="nil"/>
              <w:left w:val="single" w:sz="8" w:space="0" w:color="auto"/>
              <w:bottom w:val="single" w:sz="8" w:space="0" w:color="auto"/>
              <w:right w:val="nil"/>
            </w:tcBorders>
            <w:shd w:val="clear" w:color="000000" w:fill="FFFFFF"/>
            <w:vAlign w:val="bottom"/>
            <w:hideMark/>
          </w:tcPr>
          <w:p w:rsidR="00534F9E" w:rsidRPr="00DC06D7" w:rsidRDefault="00534F9E" w:rsidP="00F47CDB">
            <w:pPr>
              <w:rPr>
                <w:sz w:val="18"/>
                <w:szCs w:val="18"/>
                <w:lang w:val="hr-HR" w:eastAsia="hr-HR"/>
              </w:rPr>
            </w:pPr>
            <w:r w:rsidRPr="00DC06D7">
              <w:rPr>
                <w:sz w:val="18"/>
                <w:szCs w:val="18"/>
                <w:lang w:val="bs-Latn-BA" w:eastAsia="bs-Latn-BA"/>
              </w:rPr>
              <w:t>Porez na dobit</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4F9E" w:rsidRPr="00D31FA0" w:rsidRDefault="00534F9E" w:rsidP="00F47CDB">
            <w:pPr>
              <w:jc w:val="right"/>
              <w:rPr>
                <w:sz w:val="20"/>
              </w:rPr>
            </w:pPr>
            <w:r>
              <w:rPr>
                <w:sz w:val="20"/>
              </w:rPr>
              <w:t>12.478.561</w:t>
            </w:r>
          </w:p>
        </w:tc>
        <w:tc>
          <w:tcPr>
            <w:tcW w:w="1180" w:type="dxa"/>
            <w:tcBorders>
              <w:top w:val="nil"/>
              <w:left w:val="nil"/>
              <w:bottom w:val="single" w:sz="4" w:space="0" w:color="auto"/>
              <w:right w:val="single" w:sz="4" w:space="0" w:color="auto"/>
            </w:tcBorders>
            <w:shd w:val="clear" w:color="auto" w:fill="auto"/>
            <w:noWrap/>
            <w:vAlign w:val="bottom"/>
            <w:hideMark/>
          </w:tcPr>
          <w:p w:rsidR="00534F9E" w:rsidRPr="00D31FA0" w:rsidRDefault="00534F9E" w:rsidP="00F47CDB">
            <w:pPr>
              <w:jc w:val="right"/>
              <w:rPr>
                <w:sz w:val="20"/>
              </w:rPr>
            </w:pPr>
            <w:r>
              <w:rPr>
                <w:sz w:val="20"/>
              </w:rPr>
              <w:t>4.721.802</w:t>
            </w:r>
          </w:p>
        </w:tc>
        <w:tc>
          <w:tcPr>
            <w:tcW w:w="1180" w:type="dxa"/>
            <w:tcBorders>
              <w:top w:val="nil"/>
              <w:left w:val="nil"/>
              <w:bottom w:val="single" w:sz="4" w:space="0" w:color="auto"/>
              <w:right w:val="single" w:sz="4" w:space="0" w:color="auto"/>
            </w:tcBorders>
            <w:shd w:val="clear" w:color="auto" w:fill="auto"/>
            <w:vAlign w:val="bottom"/>
            <w:hideMark/>
          </w:tcPr>
          <w:p w:rsidR="00534F9E" w:rsidRPr="00D31FA0" w:rsidRDefault="00534F9E" w:rsidP="00F47CDB">
            <w:pPr>
              <w:jc w:val="right"/>
              <w:rPr>
                <w:sz w:val="20"/>
              </w:rPr>
            </w:pPr>
            <w:r>
              <w:rPr>
                <w:sz w:val="20"/>
              </w:rPr>
              <w:t>4.818.051</w:t>
            </w:r>
          </w:p>
        </w:tc>
        <w:tc>
          <w:tcPr>
            <w:tcW w:w="1180" w:type="dxa"/>
            <w:tcBorders>
              <w:top w:val="nil"/>
              <w:left w:val="nil"/>
              <w:bottom w:val="single" w:sz="4" w:space="0" w:color="auto"/>
              <w:right w:val="single" w:sz="4" w:space="0" w:color="auto"/>
            </w:tcBorders>
            <w:shd w:val="clear" w:color="auto" w:fill="auto"/>
            <w:vAlign w:val="bottom"/>
            <w:hideMark/>
          </w:tcPr>
          <w:p w:rsidR="00534F9E" w:rsidRPr="00D31FA0" w:rsidRDefault="00534F9E" w:rsidP="00F47CDB">
            <w:pPr>
              <w:jc w:val="right"/>
              <w:rPr>
                <w:sz w:val="20"/>
              </w:rPr>
            </w:pPr>
            <w:r>
              <w:rPr>
                <w:sz w:val="20"/>
              </w:rPr>
              <w:t>4.967.411</w:t>
            </w:r>
          </w:p>
        </w:tc>
        <w:tc>
          <w:tcPr>
            <w:tcW w:w="1180" w:type="dxa"/>
            <w:tcBorders>
              <w:top w:val="nil"/>
              <w:left w:val="nil"/>
              <w:bottom w:val="single" w:sz="4" w:space="0" w:color="auto"/>
              <w:right w:val="single" w:sz="4" w:space="0" w:color="auto"/>
            </w:tcBorders>
            <w:shd w:val="clear" w:color="auto" w:fill="auto"/>
            <w:vAlign w:val="bottom"/>
            <w:hideMark/>
          </w:tcPr>
          <w:p w:rsidR="00534F9E" w:rsidRPr="00D31FA0" w:rsidRDefault="00534F9E" w:rsidP="00F47CDB">
            <w:pPr>
              <w:jc w:val="right"/>
              <w:rPr>
                <w:sz w:val="20"/>
              </w:rPr>
            </w:pPr>
            <w:r>
              <w:rPr>
                <w:sz w:val="20"/>
              </w:rPr>
              <w:t>5.126.368</w:t>
            </w:r>
          </w:p>
        </w:tc>
      </w:tr>
      <w:tr w:rsidR="00534F9E" w:rsidRPr="00DC06D7" w:rsidTr="00F47CDB">
        <w:trPr>
          <w:trHeight w:val="324"/>
        </w:trPr>
        <w:tc>
          <w:tcPr>
            <w:tcW w:w="2306" w:type="dxa"/>
            <w:tcBorders>
              <w:top w:val="nil"/>
              <w:left w:val="single" w:sz="8" w:space="0" w:color="auto"/>
              <w:bottom w:val="single" w:sz="8" w:space="0" w:color="auto"/>
              <w:right w:val="single" w:sz="8" w:space="0" w:color="auto"/>
            </w:tcBorders>
            <w:shd w:val="clear" w:color="auto" w:fill="auto"/>
            <w:vAlign w:val="bottom"/>
            <w:hideMark/>
          </w:tcPr>
          <w:p w:rsidR="00534F9E" w:rsidRPr="00DC06D7" w:rsidRDefault="00534F9E" w:rsidP="00F47CDB">
            <w:pPr>
              <w:rPr>
                <w:bCs/>
                <w:sz w:val="16"/>
                <w:szCs w:val="16"/>
                <w:lang w:val="hr-HR" w:eastAsia="hr-HR"/>
              </w:rPr>
            </w:pPr>
            <w:r w:rsidRPr="00DC06D7">
              <w:rPr>
                <w:bCs/>
                <w:sz w:val="16"/>
                <w:szCs w:val="16"/>
                <w:lang w:val="bs-Latn-BA" w:eastAsia="bs-Latn-BA"/>
              </w:rPr>
              <w:t>Procenat : godina /prethodna</w:t>
            </w:r>
            <w:r>
              <w:rPr>
                <w:bCs/>
                <w:sz w:val="16"/>
                <w:szCs w:val="16"/>
                <w:lang w:val="bs-Latn-BA" w:eastAsia="bs-Latn-BA"/>
              </w:rPr>
              <w:t xml:space="preserve"> </w:t>
            </w:r>
            <w:r w:rsidRPr="00DC06D7">
              <w:rPr>
                <w:bCs/>
                <w:sz w:val="16"/>
                <w:szCs w:val="16"/>
                <w:lang w:val="bs-Latn-BA" w:eastAsia="bs-Latn-BA"/>
              </w:rPr>
              <w:t>god</w:t>
            </w:r>
            <w:r w:rsidRPr="00DC06D7">
              <w:rPr>
                <w:sz w:val="20"/>
                <w:lang w:val="bs-Latn-BA" w:eastAsia="bs-Latn-BA"/>
              </w:rPr>
              <w:t xml:space="preserve"> </w:t>
            </w:r>
          </w:p>
        </w:tc>
        <w:tc>
          <w:tcPr>
            <w:tcW w:w="1054" w:type="dxa"/>
            <w:tcBorders>
              <w:top w:val="nil"/>
              <w:left w:val="nil"/>
              <w:bottom w:val="single" w:sz="8" w:space="0" w:color="auto"/>
              <w:right w:val="single" w:sz="8" w:space="0" w:color="auto"/>
            </w:tcBorders>
            <w:shd w:val="clear" w:color="auto" w:fill="auto"/>
            <w:noWrap/>
            <w:vAlign w:val="bottom"/>
            <w:hideMark/>
          </w:tcPr>
          <w:p w:rsidR="00534F9E" w:rsidRPr="00DC06D7" w:rsidRDefault="00534F9E" w:rsidP="00F47CDB">
            <w:pPr>
              <w:rPr>
                <w:sz w:val="18"/>
                <w:szCs w:val="18"/>
                <w:lang w:val="hr-HR" w:eastAsia="hr-HR"/>
              </w:rPr>
            </w:pPr>
            <w:r w:rsidRPr="00DC06D7">
              <w:rPr>
                <w:sz w:val="18"/>
                <w:szCs w:val="18"/>
                <w:lang w:eastAsia="bs-Latn-BA"/>
              </w:rPr>
              <w:t> </w:t>
            </w:r>
          </w:p>
        </w:tc>
        <w:tc>
          <w:tcPr>
            <w:tcW w:w="1180" w:type="dxa"/>
            <w:tcBorders>
              <w:top w:val="nil"/>
              <w:left w:val="nil"/>
              <w:bottom w:val="single" w:sz="8" w:space="0" w:color="auto"/>
              <w:right w:val="single" w:sz="8" w:space="0" w:color="auto"/>
            </w:tcBorders>
            <w:shd w:val="clear" w:color="auto" w:fill="auto"/>
            <w:noWrap/>
            <w:vAlign w:val="bottom"/>
            <w:hideMark/>
          </w:tcPr>
          <w:p w:rsidR="00534F9E" w:rsidRPr="00DC06D7" w:rsidRDefault="00534F9E" w:rsidP="00F47CDB">
            <w:pPr>
              <w:jc w:val="right"/>
              <w:rPr>
                <w:sz w:val="18"/>
                <w:szCs w:val="18"/>
                <w:lang w:val="hr-HR" w:eastAsia="hr-HR"/>
              </w:rPr>
            </w:pPr>
            <w:r>
              <w:rPr>
                <w:sz w:val="18"/>
                <w:szCs w:val="18"/>
                <w:lang w:val="hr-HR" w:eastAsia="hr-HR"/>
              </w:rPr>
              <w:t>37,83</w:t>
            </w:r>
          </w:p>
        </w:tc>
        <w:tc>
          <w:tcPr>
            <w:tcW w:w="1180" w:type="dxa"/>
            <w:tcBorders>
              <w:top w:val="nil"/>
              <w:left w:val="nil"/>
              <w:bottom w:val="single" w:sz="8" w:space="0" w:color="auto"/>
              <w:right w:val="single" w:sz="8" w:space="0" w:color="auto"/>
            </w:tcBorders>
            <w:shd w:val="clear" w:color="auto" w:fill="auto"/>
            <w:noWrap/>
            <w:vAlign w:val="bottom"/>
            <w:hideMark/>
          </w:tcPr>
          <w:p w:rsidR="00534F9E" w:rsidRPr="00DC06D7" w:rsidRDefault="00534F9E" w:rsidP="00F47CDB">
            <w:pPr>
              <w:jc w:val="right"/>
              <w:rPr>
                <w:sz w:val="18"/>
                <w:szCs w:val="18"/>
                <w:lang w:val="hr-HR" w:eastAsia="hr-HR"/>
              </w:rPr>
            </w:pPr>
            <w:r>
              <w:rPr>
                <w:sz w:val="18"/>
                <w:szCs w:val="18"/>
                <w:lang w:eastAsia="bs-Latn-BA"/>
              </w:rPr>
              <w:t>102,04</w:t>
            </w:r>
          </w:p>
        </w:tc>
        <w:tc>
          <w:tcPr>
            <w:tcW w:w="1180" w:type="dxa"/>
            <w:tcBorders>
              <w:top w:val="nil"/>
              <w:left w:val="nil"/>
              <w:bottom w:val="single" w:sz="8" w:space="0" w:color="auto"/>
              <w:right w:val="single" w:sz="8" w:space="0" w:color="auto"/>
            </w:tcBorders>
            <w:shd w:val="clear" w:color="auto" w:fill="auto"/>
            <w:noWrap/>
            <w:vAlign w:val="bottom"/>
            <w:hideMark/>
          </w:tcPr>
          <w:p w:rsidR="00534F9E" w:rsidRPr="00DC06D7" w:rsidRDefault="00534F9E" w:rsidP="00F47CDB">
            <w:pPr>
              <w:jc w:val="right"/>
              <w:rPr>
                <w:sz w:val="18"/>
                <w:szCs w:val="18"/>
                <w:lang w:val="hr-HR" w:eastAsia="hr-HR"/>
              </w:rPr>
            </w:pPr>
            <w:r>
              <w:rPr>
                <w:sz w:val="18"/>
                <w:szCs w:val="18"/>
                <w:lang w:val="hr-HR" w:eastAsia="hr-HR"/>
              </w:rPr>
              <w:t>103,10</w:t>
            </w:r>
          </w:p>
        </w:tc>
        <w:tc>
          <w:tcPr>
            <w:tcW w:w="1180" w:type="dxa"/>
            <w:tcBorders>
              <w:top w:val="nil"/>
              <w:left w:val="nil"/>
              <w:bottom w:val="single" w:sz="8" w:space="0" w:color="auto"/>
              <w:right w:val="single" w:sz="8" w:space="0" w:color="auto"/>
            </w:tcBorders>
            <w:shd w:val="clear" w:color="auto" w:fill="auto"/>
            <w:noWrap/>
            <w:vAlign w:val="bottom"/>
            <w:hideMark/>
          </w:tcPr>
          <w:p w:rsidR="00534F9E" w:rsidRPr="00DC06D7" w:rsidRDefault="00534F9E" w:rsidP="00F47CDB">
            <w:pPr>
              <w:jc w:val="right"/>
              <w:rPr>
                <w:sz w:val="18"/>
                <w:szCs w:val="18"/>
                <w:lang w:val="hr-HR" w:eastAsia="hr-HR"/>
              </w:rPr>
            </w:pPr>
            <w:r w:rsidRPr="00DC06D7">
              <w:rPr>
                <w:sz w:val="18"/>
                <w:szCs w:val="18"/>
                <w:lang w:eastAsia="bs-Latn-BA"/>
              </w:rPr>
              <w:t>1</w:t>
            </w:r>
            <w:r>
              <w:rPr>
                <w:sz w:val="18"/>
                <w:szCs w:val="18"/>
                <w:lang w:eastAsia="bs-Latn-BA"/>
              </w:rPr>
              <w:t>03</w:t>
            </w:r>
            <w:r w:rsidRPr="00DC06D7">
              <w:rPr>
                <w:sz w:val="18"/>
                <w:szCs w:val="18"/>
                <w:lang w:eastAsia="bs-Latn-BA"/>
              </w:rPr>
              <w:t>,</w:t>
            </w:r>
            <w:r>
              <w:rPr>
                <w:sz w:val="18"/>
                <w:szCs w:val="18"/>
                <w:lang w:eastAsia="bs-Latn-BA"/>
              </w:rPr>
              <w:t>20</w:t>
            </w:r>
          </w:p>
        </w:tc>
      </w:tr>
    </w:tbl>
    <w:p w:rsidR="00534F9E" w:rsidRPr="00DC06D7" w:rsidRDefault="00534F9E" w:rsidP="00534F9E">
      <w:pPr>
        <w:jc w:val="both"/>
        <w:rPr>
          <w:bCs/>
          <w:sz w:val="24"/>
          <w:szCs w:val="18"/>
          <w:lang w:val="bs-Latn-BA" w:eastAsia="bs-Latn-BA"/>
        </w:rPr>
      </w:pPr>
      <w:r w:rsidRPr="00DC06D7">
        <w:rPr>
          <w:bCs/>
          <w:sz w:val="24"/>
          <w:szCs w:val="18"/>
          <w:lang w:val="bs-Latn-BA" w:eastAsia="bs-Latn-BA"/>
        </w:rPr>
        <w:t xml:space="preserve">U tabeli </w:t>
      </w:r>
      <w:r>
        <w:rPr>
          <w:bCs/>
          <w:sz w:val="24"/>
          <w:szCs w:val="18"/>
          <w:lang w:val="bs-Latn-BA" w:eastAsia="bs-Latn-BA"/>
        </w:rPr>
        <w:t>je</w:t>
      </w:r>
      <w:r w:rsidRPr="00DC06D7">
        <w:rPr>
          <w:bCs/>
          <w:sz w:val="24"/>
          <w:szCs w:val="18"/>
          <w:lang w:val="bs-Latn-BA" w:eastAsia="bs-Latn-BA"/>
        </w:rPr>
        <w:t xml:space="preserve"> prikazano  izvršenje prihoda od poreza na dobit za 201</w:t>
      </w:r>
      <w:r>
        <w:rPr>
          <w:bCs/>
          <w:sz w:val="24"/>
          <w:szCs w:val="18"/>
          <w:lang w:val="bs-Latn-BA" w:eastAsia="bs-Latn-BA"/>
        </w:rPr>
        <w:t>9</w:t>
      </w:r>
      <w:r w:rsidRPr="00DC06D7">
        <w:rPr>
          <w:bCs/>
          <w:sz w:val="24"/>
          <w:szCs w:val="18"/>
          <w:lang w:val="bs-Latn-BA" w:eastAsia="bs-Latn-BA"/>
        </w:rPr>
        <w:t>.godinu i  revidirane projekcije za 20</w:t>
      </w:r>
      <w:r>
        <w:rPr>
          <w:bCs/>
          <w:sz w:val="24"/>
          <w:szCs w:val="18"/>
          <w:lang w:val="bs-Latn-BA" w:eastAsia="bs-Latn-BA"/>
        </w:rPr>
        <w:t>20.</w:t>
      </w:r>
      <w:r w:rsidRPr="00DC06D7">
        <w:rPr>
          <w:bCs/>
          <w:sz w:val="24"/>
          <w:szCs w:val="18"/>
          <w:lang w:val="bs-Latn-BA" w:eastAsia="bs-Latn-BA"/>
        </w:rPr>
        <w:t xml:space="preserve">  i projekcije za period 20</w:t>
      </w:r>
      <w:r>
        <w:rPr>
          <w:bCs/>
          <w:sz w:val="24"/>
          <w:szCs w:val="18"/>
          <w:lang w:val="bs-Latn-BA" w:eastAsia="bs-Latn-BA"/>
        </w:rPr>
        <w:t xml:space="preserve">21. - </w:t>
      </w:r>
      <w:r w:rsidRPr="00DC06D7">
        <w:rPr>
          <w:bCs/>
          <w:sz w:val="24"/>
          <w:szCs w:val="18"/>
          <w:lang w:val="bs-Latn-BA" w:eastAsia="bs-Latn-BA"/>
        </w:rPr>
        <w:t>20</w:t>
      </w:r>
      <w:r>
        <w:rPr>
          <w:bCs/>
          <w:sz w:val="24"/>
          <w:szCs w:val="18"/>
          <w:lang w:val="bs-Latn-BA" w:eastAsia="bs-Latn-BA"/>
        </w:rPr>
        <w:t>23.</w:t>
      </w:r>
      <w:r w:rsidRPr="00DC06D7">
        <w:rPr>
          <w:bCs/>
          <w:sz w:val="24"/>
          <w:szCs w:val="18"/>
          <w:lang w:val="bs-Latn-BA" w:eastAsia="bs-Latn-BA"/>
        </w:rPr>
        <w:t xml:space="preserve"> godinu.</w:t>
      </w:r>
    </w:p>
    <w:p w:rsidR="00534F9E" w:rsidRPr="001F0F01" w:rsidRDefault="00534F9E" w:rsidP="00534F9E">
      <w:pPr>
        <w:jc w:val="both"/>
        <w:rPr>
          <w:sz w:val="24"/>
          <w:szCs w:val="24"/>
        </w:rPr>
      </w:pPr>
      <w:r w:rsidRPr="00DC06D7">
        <w:rPr>
          <w:sz w:val="24"/>
        </w:rPr>
        <w:t xml:space="preserve">Porez na dobit firmi, pored banaka i drugih finansijskih institucija, predstavlja kantonalni prihod. Procjenjuje se da će iznositi </w:t>
      </w:r>
      <w:r>
        <w:rPr>
          <w:sz w:val="24"/>
        </w:rPr>
        <w:t>4,72</w:t>
      </w:r>
      <w:r w:rsidRPr="00DC06D7">
        <w:rPr>
          <w:sz w:val="24"/>
        </w:rPr>
        <w:t xml:space="preserve"> mil KM u 20</w:t>
      </w:r>
      <w:r>
        <w:rPr>
          <w:sz w:val="24"/>
        </w:rPr>
        <w:t>20</w:t>
      </w:r>
      <w:r w:rsidRPr="00DC06D7">
        <w:rPr>
          <w:sz w:val="24"/>
        </w:rPr>
        <w:t xml:space="preserve">.g., a što predstavlja </w:t>
      </w:r>
      <w:r>
        <w:rPr>
          <w:sz w:val="24"/>
        </w:rPr>
        <w:t>pad</w:t>
      </w:r>
      <w:r w:rsidRPr="00DC06D7">
        <w:rPr>
          <w:sz w:val="24"/>
        </w:rPr>
        <w:t xml:space="preserve"> od </w:t>
      </w:r>
      <w:r>
        <w:rPr>
          <w:sz w:val="24"/>
        </w:rPr>
        <w:t xml:space="preserve">62,17 </w:t>
      </w:r>
      <w:r w:rsidRPr="00DC06D7">
        <w:rPr>
          <w:sz w:val="24"/>
        </w:rPr>
        <w:t>% u odnosu na ostvarenje 201</w:t>
      </w:r>
      <w:r>
        <w:rPr>
          <w:sz w:val="24"/>
        </w:rPr>
        <w:t>9</w:t>
      </w:r>
      <w:r w:rsidRPr="00DC06D7">
        <w:rPr>
          <w:sz w:val="24"/>
        </w:rPr>
        <w:t>.g.</w:t>
      </w:r>
      <w:r>
        <w:rPr>
          <w:sz w:val="24"/>
        </w:rPr>
        <w:t xml:space="preserve"> ili u apsolutnom iznosu 7,8 mil KM.</w:t>
      </w:r>
      <w:r w:rsidRPr="00DC06D7">
        <w:rPr>
          <w:sz w:val="24"/>
        </w:rPr>
        <w:t xml:space="preserve">  Projecirano je da će prihodi po o</w:t>
      </w:r>
      <w:r>
        <w:rPr>
          <w:sz w:val="24"/>
        </w:rPr>
        <w:t xml:space="preserve">snovu poreza na dobiti </w:t>
      </w:r>
      <w:r w:rsidRPr="00DC06D7">
        <w:rPr>
          <w:sz w:val="24"/>
        </w:rPr>
        <w:t>iznositi</w:t>
      </w:r>
      <w:r>
        <w:rPr>
          <w:sz w:val="24"/>
        </w:rPr>
        <w:t>:</w:t>
      </w:r>
      <w:r w:rsidRPr="00DC06D7">
        <w:rPr>
          <w:sz w:val="24"/>
        </w:rPr>
        <w:t xml:space="preserve"> </w:t>
      </w:r>
      <w:r>
        <w:rPr>
          <w:sz w:val="24"/>
        </w:rPr>
        <w:t>4,82</w:t>
      </w:r>
      <w:r w:rsidRPr="00DC06D7">
        <w:rPr>
          <w:sz w:val="24"/>
        </w:rPr>
        <w:t xml:space="preserve"> mil KM u 20</w:t>
      </w:r>
      <w:r>
        <w:rPr>
          <w:sz w:val="24"/>
        </w:rPr>
        <w:t>21</w:t>
      </w:r>
      <w:r w:rsidRPr="00DC06D7">
        <w:rPr>
          <w:sz w:val="24"/>
        </w:rPr>
        <w:t xml:space="preserve">.g., te </w:t>
      </w:r>
      <w:r>
        <w:rPr>
          <w:sz w:val="24"/>
        </w:rPr>
        <w:t>4,97</w:t>
      </w:r>
      <w:r w:rsidRPr="00DC06D7">
        <w:rPr>
          <w:sz w:val="24"/>
        </w:rPr>
        <w:t xml:space="preserve"> KM u 20</w:t>
      </w:r>
      <w:r>
        <w:rPr>
          <w:sz w:val="24"/>
        </w:rPr>
        <w:t>22</w:t>
      </w:r>
      <w:r w:rsidRPr="00DC06D7">
        <w:rPr>
          <w:sz w:val="24"/>
        </w:rPr>
        <w:t xml:space="preserve">.g. </w:t>
      </w:r>
      <w:r>
        <w:rPr>
          <w:sz w:val="24"/>
        </w:rPr>
        <w:t>i  5,13</w:t>
      </w:r>
      <w:r w:rsidRPr="00DC06D7">
        <w:rPr>
          <w:sz w:val="24"/>
        </w:rPr>
        <w:t xml:space="preserve"> mil. KM u 20</w:t>
      </w:r>
      <w:r>
        <w:rPr>
          <w:sz w:val="24"/>
        </w:rPr>
        <w:t>23</w:t>
      </w:r>
      <w:r w:rsidRPr="00DC06D7">
        <w:rPr>
          <w:sz w:val="24"/>
        </w:rPr>
        <w:t>.</w:t>
      </w:r>
      <w:r>
        <w:rPr>
          <w:sz w:val="24"/>
        </w:rPr>
        <w:t xml:space="preserve"> godini, </w:t>
      </w:r>
      <w:r>
        <w:rPr>
          <w:sz w:val="24"/>
          <w:szCs w:val="24"/>
        </w:rPr>
        <w:t xml:space="preserve">ali je njihov nivo, zbog osabljene baze u 2020. </w:t>
      </w:r>
      <w:r w:rsidRPr="001F0F01">
        <w:rPr>
          <w:sz w:val="24"/>
          <w:szCs w:val="24"/>
        </w:rPr>
        <w:t>godini znatno skromniji u odnosu na visok historijski trend bilježen kontinuirano u zadnjih nekoliko godina.</w:t>
      </w:r>
    </w:p>
    <w:p w:rsidR="00534F9E" w:rsidRPr="00534F9E" w:rsidRDefault="00534F9E" w:rsidP="00887C88">
      <w:pPr>
        <w:pStyle w:val="Heading2"/>
        <w:numPr>
          <w:ilvl w:val="1"/>
          <w:numId w:val="4"/>
        </w:numPr>
        <w:rPr>
          <w:rFonts w:ascii="Times New Roman" w:hAnsi="Times New Roman"/>
          <w:color w:val="auto"/>
          <w:lang w:eastAsia="bs-Latn-BA"/>
        </w:rPr>
      </w:pPr>
      <w:bookmarkStart w:id="70" w:name="_Toc9858441"/>
      <w:r w:rsidRPr="00534F9E">
        <w:rPr>
          <w:rFonts w:ascii="Times New Roman" w:hAnsi="Times New Roman"/>
          <w:color w:val="auto"/>
          <w:lang w:eastAsia="bs-Latn-BA"/>
        </w:rPr>
        <w:t>Ukupni prihodi kantona</w:t>
      </w:r>
      <w:bookmarkEnd w:id="70"/>
    </w:p>
    <w:p w:rsidR="00534F9E" w:rsidRDefault="00534F9E" w:rsidP="00534F9E">
      <w:pPr>
        <w:pStyle w:val="ListParagraph"/>
        <w:ind w:left="0"/>
        <w:jc w:val="both"/>
        <w:rPr>
          <w:rFonts w:ascii="Times New Roman" w:hAnsi="Times New Roman"/>
          <w:sz w:val="24"/>
          <w:szCs w:val="24"/>
        </w:rPr>
      </w:pPr>
      <w:r w:rsidRPr="00534F9E">
        <w:rPr>
          <w:rFonts w:ascii="Times New Roman" w:hAnsi="Times New Roman"/>
          <w:color w:val="000000"/>
          <w:sz w:val="24"/>
          <w:szCs w:val="24"/>
        </w:rPr>
        <w:t>Federalno</w:t>
      </w:r>
      <w:r>
        <w:rPr>
          <w:rFonts w:ascii="Times New Roman" w:hAnsi="Times New Roman"/>
          <w:sz w:val="24"/>
          <w:szCs w:val="24"/>
        </w:rPr>
        <w:t xml:space="preserve"> ministarstvo finansija dostavilo je 06.05.2020. godine </w:t>
      </w:r>
      <w:r w:rsidRPr="001A6ED7">
        <w:rPr>
          <w:rFonts w:ascii="Times New Roman" w:hAnsi="Times New Roman"/>
          <w:i/>
          <w:sz w:val="24"/>
          <w:szCs w:val="24"/>
        </w:rPr>
        <w:t>revidiranu projekciju</w:t>
      </w:r>
      <w:r>
        <w:rPr>
          <w:rFonts w:ascii="Times New Roman" w:hAnsi="Times New Roman"/>
          <w:sz w:val="24"/>
          <w:szCs w:val="24"/>
        </w:rPr>
        <w:t xml:space="preserve"> prihoda od indirektnih i direktnih poreza za 2020. i projekcije za period 2021. - 2023. godina sačinjenu na osnovu prognoza Odjeljenja za makroekonomsku analizu UIO (OMA)  zasnovanu  u skladu sa novonastalom situacijom prozrokovanu pandemijom coronavirusa i predviđanjima kretanja makroekonomskih pokazatelja.U nadležnosti OMA-e je da dva puta godišnje ( maj, oktobar) vrši procjenu prihoda i dostavlja je </w:t>
      </w:r>
      <w:bookmarkStart w:id="71" w:name="_Toc298405222"/>
      <w:bookmarkStart w:id="72" w:name="_Toc298405637"/>
      <w:bookmarkStart w:id="73" w:name="_Toc422899931"/>
      <w:r>
        <w:rPr>
          <w:rFonts w:ascii="Times New Roman" w:hAnsi="Times New Roman"/>
          <w:sz w:val="24"/>
          <w:szCs w:val="24"/>
        </w:rPr>
        <w:t>entitetima.</w:t>
      </w:r>
    </w:p>
    <w:p w:rsidR="00534F9E" w:rsidRPr="008E54B6" w:rsidRDefault="005F4519" w:rsidP="00534F9E">
      <w:pPr>
        <w:jc w:val="both"/>
        <w:rPr>
          <w:sz w:val="24"/>
          <w:szCs w:val="24"/>
          <w:lang w:eastAsia="en-GB"/>
        </w:rPr>
      </w:pPr>
      <w:r>
        <w:rPr>
          <w:sz w:val="24"/>
          <w:szCs w:val="24"/>
          <w:lang w:eastAsia="en-GB"/>
        </w:rPr>
        <w:t xml:space="preserve">                 </w:t>
      </w:r>
      <w:r w:rsidR="00534F9E" w:rsidRPr="00035F91">
        <w:rPr>
          <w:sz w:val="24"/>
          <w:szCs w:val="24"/>
          <w:lang w:eastAsia="en-GB"/>
        </w:rPr>
        <w:t>Ukupni prihodi s kojim raspolaže USK za period 2019-2023. godina ( izvor 10)</w:t>
      </w:r>
    </w:p>
    <w:tbl>
      <w:tblPr>
        <w:tblW w:w="9923" w:type="dxa"/>
        <w:tblLook w:val="04A0"/>
      </w:tblPr>
      <w:tblGrid>
        <w:gridCol w:w="449"/>
        <w:gridCol w:w="1129"/>
        <w:gridCol w:w="873"/>
        <w:gridCol w:w="873"/>
        <w:gridCol w:w="873"/>
        <w:gridCol w:w="623"/>
        <w:gridCol w:w="873"/>
        <w:gridCol w:w="623"/>
        <w:gridCol w:w="631"/>
        <w:gridCol w:w="873"/>
        <w:gridCol w:w="697"/>
        <w:gridCol w:w="873"/>
        <w:gridCol w:w="722"/>
      </w:tblGrid>
      <w:tr w:rsidR="00534F9E" w:rsidRPr="00283A39" w:rsidTr="00EC7B7C">
        <w:trPr>
          <w:trHeight w:val="842"/>
        </w:trPr>
        <w:tc>
          <w:tcPr>
            <w:tcW w:w="449" w:type="dxa"/>
            <w:tcBorders>
              <w:top w:val="nil"/>
              <w:left w:val="nil"/>
              <w:bottom w:val="nil"/>
              <w:right w:val="nil"/>
            </w:tcBorders>
            <w:shd w:val="clear" w:color="auto" w:fill="auto"/>
            <w:noWrap/>
            <w:vAlign w:val="bottom"/>
            <w:hideMark/>
          </w:tcPr>
          <w:p w:rsidR="00534F9E" w:rsidRPr="00283A39" w:rsidRDefault="00534F9E" w:rsidP="00F47CDB">
            <w:pPr>
              <w:rPr>
                <w:sz w:val="24"/>
                <w:szCs w:val="24"/>
                <w:lang w:eastAsia="en-GB"/>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4F9E" w:rsidRPr="00283A39" w:rsidRDefault="00534F9E" w:rsidP="00F47CDB">
            <w:pPr>
              <w:rPr>
                <w:sz w:val="14"/>
                <w:szCs w:val="14"/>
                <w:lang w:eastAsia="en-GB"/>
              </w:rPr>
            </w:pPr>
            <w:r w:rsidRPr="00283A39">
              <w:rPr>
                <w:sz w:val="14"/>
                <w:szCs w:val="14"/>
                <w:lang w:eastAsia="en-GB"/>
              </w:rPr>
              <w:t>Vrsta prihoda</w:t>
            </w:r>
          </w:p>
        </w:tc>
        <w:tc>
          <w:tcPr>
            <w:tcW w:w="873" w:type="dxa"/>
            <w:tcBorders>
              <w:top w:val="single" w:sz="4" w:space="0" w:color="auto"/>
              <w:left w:val="nil"/>
              <w:bottom w:val="nil"/>
              <w:right w:val="single" w:sz="4" w:space="0" w:color="auto"/>
            </w:tcBorders>
            <w:shd w:val="clear" w:color="000000" w:fill="FFFFFF"/>
            <w:noWrap/>
            <w:vAlign w:val="center"/>
            <w:hideMark/>
          </w:tcPr>
          <w:p w:rsidR="00534F9E" w:rsidRDefault="00534F9E" w:rsidP="00F47CDB">
            <w:pPr>
              <w:jc w:val="both"/>
              <w:rPr>
                <w:sz w:val="14"/>
                <w:szCs w:val="14"/>
                <w:lang w:eastAsia="en-GB"/>
              </w:rPr>
            </w:pPr>
            <w:r w:rsidRPr="00283A39">
              <w:rPr>
                <w:sz w:val="14"/>
                <w:szCs w:val="14"/>
                <w:lang w:eastAsia="en-GB"/>
              </w:rPr>
              <w:t>Izvršenj</w:t>
            </w:r>
            <w:r>
              <w:rPr>
                <w:sz w:val="14"/>
                <w:szCs w:val="14"/>
                <w:lang w:eastAsia="en-GB"/>
              </w:rPr>
              <w:t>e</w:t>
            </w:r>
          </w:p>
          <w:p w:rsidR="00534F9E" w:rsidRPr="00283A39" w:rsidRDefault="00534F9E" w:rsidP="00F47CDB">
            <w:pPr>
              <w:jc w:val="both"/>
              <w:rPr>
                <w:sz w:val="14"/>
                <w:szCs w:val="14"/>
                <w:lang w:eastAsia="en-GB"/>
              </w:rPr>
            </w:pPr>
            <w:r w:rsidRPr="00283A39">
              <w:rPr>
                <w:sz w:val="14"/>
                <w:szCs w:val="14"/>
                <w:lang w:eastAsia="en-GB"/>
              </w:rPr>
              <w:t>2019. godine</w:t>
            </w:r>
          </w:p>
        </w:tc>
        <w:tc>
          <w:tcPr>
            <w:tcW w:w="873" w:type="dxa"/>
            <w:tcBorders>
              <w:top w:val="single" w:sz="4" w:space="0" w:color="auto"/>
              <w:left w:val="nil"/>
              <w:bottom w:val="nil"/>
              <w:right w:val="single" w:sz="4" w:space="0" w:color="auto"/>
            </w:tcBorders>
            <w:shd w:val="clear" w:color="auto" w:fill="auto"/>
            <w:noWrap/>
            <w:vAlign w:val="center"/>
            <w:hideMark/>
          </w:tcPr>
          <w:p w:rsidR="00534F9E" w:rsidRPr="00283A39" w:rsidRDefault="00534F9E" w:rsidP="00F47CDB">
            <w:pPr>
              <w:jc w:val="both"/>
              <w:rPr>
                <w:sz w:val="14"/>
                <w:szCs w:val="14"/>
                <w:lang w:eastAsia="en-GB"/>
              </w:rPr>
            </w:pPr>
            <w:r w:rsidRPr="00283A39">
              <w:rPr>
                <w:sz w:val="14"/>
                <w:szCs w:val="14"/>
                <w:lang w:eastAsia="en-GB"/>
              </w:rPr>
              <w:t>Budžet 2020   (izvor 10)</w:t>
            </w:r>
          </w:p>
        </w:tc>
        <w:tc>
          <w:tcPr>
            <w:tcW w:w="873" w:type="dxa"/>
            <w:tcBorders>
              <w:top w:val="single" w:sz="4" w:space="0" w:color="auto"/>
              <w:left w:val="nil"/>
              <w:bottom w:val="nil"/>
              <w:right w:val="single" w:sz="4" w:space="0" w:color="auto"/>
            </w:tcBorders>
            <w:shd w:val="clear" w:color="auto" w:fill="auto"/>
            <w:noWrap/>
            <w:vAlign w:val="center"/>
            <w:hideMark/>
          </w:tcPr>
          <w:p w:rsidR="00534F9E" w:rsidRPr="00283A39" w:rsidRDefault="00534F9E" w:rsidP="00F47CDB">
            <w:pPr>
              <w:jc w:val="both"/>
              <w:rPr>
                <w:sz w:val="14"/>
                <w:szCs w:val="14"/>
                <w:lang w:eastAsia="en-GB"/>
              </w:rPr>
            </w:pPr>
            <w:r w:rsidRPr="00283A39">
              <w:rPr>
                <w:sz w:val="14"/>
                <w:szCs w:val="14"/>
                <w:lang w:eastAsia="en-GB"/>
              </w:rPr>
              <w:t>Projekcija Rebalans 2020.            (izvor10)</w:t>
            </w:r>
          </w:p>
        </w:tc>
        <w:tc>
          <w:tcPr>
            <w:tcW w:w="623" w:type="dxa"/>
            <w:tcBorders>
              <w:top w:val="single" w:sz="4" w:space="0" w:color="auto"/>
              <w:left w:val="nil"/>
              <w:bottom w:val="nil"/>
              <w:right w:val="single" w:sz="4" w:space="0" w:color="auto"/>
            </w:tcBorders>
            <w:shd w:val="clear" w:color="auto" w:fill="auto"/>
            <w:noWrap/>
            <w:vAlign w:val="center"/>
            <w:hideMark/>
          </w:tcPr>
          <w:p w:rsidR="00534F9E" w:rsidRPr="00283A39" w:rsidRDefault="00534F9E" w:rsidP="00F47CDB">
            <w:pPr>
              <w:jc w:val="both"/>
              <w:rPr>
                <w:sz w:val="14"/>
                <w:szCs w:val="14"/>
                <w:lang w:eastAsia="en-GB"/>
              </w:rPr>
            </w:pPr>
            <w:r w:rsidRPr="00283A39">
              <w:rPr>
                <w:sz w:val="14"/>
                <w:szCs w:val="14"/>
                <w:lang w:eastAsia="en-GB"/>
              </w:rPr>
              <w:t>Index (3):(2)</w:t>
            </w:r>
          </w:p>
        </w:tc>
        <w:tc>
          <w:tcPr>
            <w:tcW w:w="873" w:type="dxa"/>
            <w:tcBorders>
              <w:top w:val="single" w:sz="4" w:space="0" w:color="auto"/>
              <w:left w:val="nil"/>
              <w:bottom w:val="nil"/>
              <w:right w:val="single" w:sz="4" w:space="0" w:color="auto"/>
            </w:tcBorders>
            <w:shd w:val="clear" w:color="auto" w:fill="auto"/>
            <w:noWrap/>
            <w:vAlign w:val="center"/>
            <w:hideMark/>
          </w:tcPr>
          <w:p w:rsidR="00534F9E" w:rsidRPr="00283A39" w:rsidRDefault="00534F9E" w:rsidP="00F47CDB">
            <w:pPr>
              <w:jc w:val="both"/>
              <w:rPr>
                <w:sz w:val="14"/>
                <w:szCs w:val="14"/>
                <w:lang w:eastAsia="en-GB"/>
              </w:rPr>
            </w:pPr>
            <w:r w:rsidRPr="00283A39">
              <w:rPr>
                <w:sz w:val="14"/>
                <w:szCs w:val="14"/>
                <w:lang w:eastAsia="en-GB"/>
              </w:rPr>
              <w:t>Projekcija 2021.       (izvor 10)</w:t>
            </w:r>
          </w:p>
        </w:tc>
        <w:tc>
          <w:tcPr>
            <w:tcW w:w="623" w:type="dxa"/>
            <w:tcBorders>
              <w:top w:val="single" w:sz="4" w:space="0" w:color="auto"/>
              <w:left w:val="nil"/>
              <w:bottom w:val="single" w:sz="4" w:space="0" w:color="auto"/>
              <w:right w:val="single" w:sz="4" w:space="0" w:color="auto"/>
            </w:tcBorders>
            <w:shd w:val="clear" w:color="auto" w:fill="auto"/>
            <w:noWrap/>
            <w:vAlign w:val="center"/>
            <w:hideMark/>
          </w:tcPr>
          <w:p w:rsidR="00534F9E" w:rsidRPr="00283A39" w:rsidRDefault="00534F9E" w:rsidP="00F47CDB">
            <w:pPr>
              <w:jc w:val="both"/>
              <w:rPr>
                <w:sz w:val="14"/>
                <w:szCs w:val="14"/>
                <w:lang w:eastAsia="en-GB"/>
              </w:rPr>
            </w:pPr>
            <w:r w:rsidRPr="00283A39">
              <w:rPr>
                <w:sz w:val="14"/>
                <w:szCs w:val="14"/>
                <w:lang w:eastAsia="en-GB"/>
              </w:rPr>
              <w:t>Index (7):(3)</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rsidR="00534F9E" w:rsidRPr="00283A39" w:rsidRDefault="00534F9E" w:rsidP="00F47CDB">
            <w:pPr>
              <w:jc w:val="both"/>
              <w:rPr>
                <w:sz w:val="14"/>
                <w:szCs w:val="14"/>
                <w:lang w:eastAsia="en-GB"/>
              </w:rPr>
            </w:pPr>
            <w:r w:rsidRPr="00283A39">
              <w:rPr>
                <w:sz w:val="14"/>
                <w:szCs w:val="14"/>
                <w:lang w:eastAsia="en-GB"/>
              </w:rPr>
              <w:t>učešče</w:t>
            </w:r>
          </w:p>
        </w:tc>
        <w:tc>
          <w:tcPr>
            <w:tcW w:w="873" w:type="dxa"/>
            <w:tcBorders>
              <w:top w:val="single" w:sz="4" w:space="0" w:color="auto"/>
              <w:left w:val="nil"/>
              <w:bottom w:val="single" w:sz="4" w:space="0" w:color="auto"/>
              <w:right w:val="single" w:sz="4" w:space="0" w:color="auto"/>
            </w:tcBorders>
            <w:shd w:val="clear" w:color="auto" w:fill="auto"/>
            <w:noWrap/>
            <w:vAlign w:val="center"/>
            <w:hideMark/>
          </w:tcPr>
          <w:p w:rsidR="00534F9E" w:rsidRPr="00283A39" w:rsidRDefault="00534F9E" w:rsidP="00F47CDB">
            <w:pPr>
              <w:jc w:val="both"/>
              <w:rPr>
                <w:sz w:val="14"/>
                <w:szCs w:val="14"/>
                <w:lang w:eastAsia="en-GB"/>
              </w:rPr>
            </w:pPr>
            <w:r w:rsidRPr="00283A39">
              <w:rPr>
                <w:sz w:val="14"/>
                <w:szCs w:val="14"/>
                <w:lang w:eastAsia="en-GB"/>
              </w:rPr>
              <w:t>Projekcija 2022.                (izvor10)</w:t>
            </w:r>
          </w:p>
        </w:tc>
        <w:tc>
          <w:tcPr>
            <w:tcW w:w="697" w:type="dxa"/>
            <w:tcBorders>
              <w:top w:val="single" w:sz="4" w:space="0" w:color="auto"/>
              <w:left w:val="nil"/>
              <w:bottom w:val="single" w:sz="4" w:space="0" w:color="auto"/>
              <w:right w:val="single" w:sz="4" w:space="0" w:color="auto"/>
            </w:tcBorders>
            <w:shd w:val="clear" w:color="auto" w:fill="auto"/>
            <w:noWrap/>
            <w:vAlign w:val="center"/>
            <w:hideMark/>
          </w:tcPr>
          <w:p w:rsidR="00534F9E" w:rsidRPr="00283A39" w:rsidRDefault="00534F9E" w:rsidP="00F47CDB">
            <w:pPr>
              <w:jc w:val="both"/>
              <w:rPr>
                <w:sz w:val="14"/>
                <w:szCs w:val="14"/>
                <w:lang w:eastAsia="en-GB"/>
              </w:rPr>
            </w:pPr>
            <w:r w:rsidRPr="00283A39">
              <w:rPr>
                <w:sz w:val="14"/>
                <w:szCs w:val="14"/>
                <w:lang w:eastAsia="en-GB"/>
              </w:rPr>
              <w:t>Index (10):(</w:t>
            </w:r>
            <w:r>
              <w:rPr>
                <w:sz w:val="14"/>
                <w:szCs w:val="14"/>
                <w:lang w:eastAsia="en-GB"/>
              </w:rPr>
              <w:t>7)</w:t>
            </w:r>
          </w:p>
        </w:tc>
        <w:tc>
          <w:tcPr>
            <w:tcW w:w="873" w:type="dxa"/>
            <w:tcBorders>
              <w:top w:val="single" w:sz="4" w:space="0" w:color="auto"/>
              <w:left w:val="nil"/>
              <w:bottom w:val="single" w:sz="4" w:space="0" w:color="auto"/>
              <w:right w:val="single" w:sz="4" w:space="0" w:color="auto"/>
            </w:tcBorders>
            <w:shd w:val="clear" w:color="auto" w:fill="auto"/>
            <w:noWrap/>
            <w:vAlign w:val="bottom"/>
            <w:hideMark/>
          </w:tcPr>
          <w:p w:rsidR="00534F9E" w:rsidRPr="00283A39" w:rsidRDefault="00534F9E" w:rsidP="00F47CDB">
            <w:pPr>
              <w:jc w:val="both"/>
              <w:rPr>
                <w:sz w:val="14"/>
                <w:szCs w:val="14"/>
                <w:lang w:eastAsia="en-GB"/>
              </w:rPr>
            </w:pPr>
            <w:r w:rsidRPr="00283A39">
              <w:rPr>
                <w:sz w:val="14"/>
                <w:szCs w:val="14"/>
                <w:lang w:eastAsia="en-GB"/>
              </w:rPr>
              <w:t>Projekcija 2023.     (izvor10)</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534F9E" w:rsidRPr="00283A39" w:rsidRDefault="00534F9E" w:rsidP="00F47CDB">
            <w:pPr>
              <w:jc w:val="both"/>
              <w:rPr>
                <w:sz w:val="14"/>
                <w:szCs w:val="14"/>
                <w:lang w:eastAsia="en-GB"/>
              </w:rPr>
            </w:pPr>
            <w:r w:rsidRPr="00283A39">
              <w:rPr>
                <w:sz w:val="14"/>
                <w:szCs w:val="14"/>
                <w:lang w:eastAsia="en-GB"/>
              </w:rPr>
              <w:t>Index (12):(10)</w:t>
            </w:r>
          </w:p>
        </w:tc>
      </w:tr>
      <w:tr w:rsidR="00534F9E" w:rsidRPr="00283A39" w:rsidTr="00F47CDB">
        <w:trPr>
          <w:trHeight w:val="109"/>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F9E" w:rsidRPr="00283A39" w:rsidRDefault="00534F9E" w:rsidP="00F47CDB">
            <w:pPr>
              <w:jc w:val="center"/>
              <w:rPr>
                <w:sz w:val="12"/>
                <w:szCs w:val="12"/>
                <w:lang w:eastAsia="en-GB"/>
              </w:rPr>
            </w:pPr>
            <w:r w:rsidRPr="00283A39">
              <w:rPr>
                <w:sz w:val="12"/>
                <w:szCs w:val="12"/>
                <w:lang w:eastAsia="en-GB"/>
              </w:rPr>
              <w:t>ek.k</w:t>
            </w:r>
          </w:p>
        </w:tc>
        <w:tc>
          <w:tcPr>
            <w:tcW w:w="1129" w:type="dxa"/>
            <w:tcBorders>
              <w:top w:val="nil"/>
              <w:left w:val="nil"/>
              <w:bottom w:val="single" w:sz="4" w:space="0" w:color="auto"/>
              <w:right w:val="single" w:sz="4" w:space="0" w:color="auto"/>
            </w:tcBorders>
            <w:shd w:val="clear" w:color="auto" w:fill="auto"/>
            <w:noWrap/>
            <w:vAlign w:val="center"/>
            <w:hideMark/>
          </w:tcPr>
          <w:p w:rsidR="00534F9E" w:rsidRPr="00283A39" w:rsidRDefault="00534F9E" w:rsidP="00F47CDB">
            <w:pPr>
              <w:jc w:val="center"/>
              <w:rPr>
                <w:sz w:val="12"/>
                <w:szCs w:val="12"/>
                <w:lang w:eastAsia="en-GB"/>
              </w:rPr>
            </w:pPr>
            <w:r w:rsidRPr="00283A39">
              <w:rPr>
                <w:sz w:val="12"/>
                <w:szCs w:val="12"/>
                <w:lang w:eastAsia="en-GB"/>
              </w:rPr>
              <w:t>1</w:t>
            </w:r>
          </w:p>
        </w:tc>
        <w:tc>
          <w:tcPr>
            <w:tcW w:w="873" w:type="dxa"/>
            <w:tcBorders>
              <w:top w:val="single" w:sz="4" w:space="0" w:color="auto"/>
              <w:left w:val="nil"/>
              <w:bottom w:val="single" w:sz="4" w:space="0" w:color="auto"/>
              <w:right w:val="single" w:sz="4" w:space="0" w:color="auto"/>
            </w:tcBorders>
            <w:shd w:val="clear" w:color="000000" w:fill="FFFFFF"/>
            <w:noWrap/>
            <w:vAlign w:val="center"/>
            <w:hideMark/>
          </w:tcPr>
          <w:p w:rsidR="00534F9E" w:rsidRPr="00283A39" w:rsidRDefault="00534F9E" w:rsidP="00F47CDB">
            <w:pPr>
              <w:jc w:val="center"/>
              <w:rPr>
                <w:sz w:val="12"/>
                <w:szCs w:val="12"/>
                <w:lang w:eastAsia="en-GB"/>
              </w:rPr>
            </w:pPr>
            <w:r w:rsidRPr="00283A39">
              <w:rPr>
                <w:sz w:val="12"/>
                <w:szCs w:val="12"/>
                <w:lang w:eastAsia="en-GB"/>
              </w:rPr>
              <w:t>2</w:t>
            </w:r>
          </w:p>
        </w:tc>
        <w:tc>
          <w:tcPr>
            <w:tcW w:w="873" w:type="dxa"/>
            <w:tcBorders>
              <w:top w:val="single" w:sz="4" w:space="0" w:color="auto"/>
              <w:left w:val="nil"/>
              <w:bottom w:val="single" w:sz="4" w:space="0" w:color="auto"/>
              <w:right w:val="single" w:sz="4" w:space="0" w:color="auto"/>
            </w:tcBorders>
            <w:shd w:val="clear" w:color="auto" w:fill="auto"/>
            <w:noWrap/>
            <w:vAlign w:val="center"/>
            <w:hideMark/>
          </w:tcPr>
          <w:p w:rsidR="00534F9E" w:rsidRPr="00283A39" w:rsidRDefault="00534F9E" w:rsidP="00F47CDB">
            <w:pPr>
              <w:jc w:val="center"/>
              <w:rPr>
                <w:sz w:val="12"/>
                <w:szCs w:val="12"/>
                <w:lang w:eastAsia="en-GB"/>
              </w:rPr>
            </w:pPr>
            <w:r w:rsidRPr="00283A39">
              <w:rPr>
                <w:sz w:val="12"/>
                <w:szCs w:val="12"/>
                <w:lang w:eastAsia="en-GB"/>
              </w:rPr>
              <w:t>3</w:t>
            </w:r>
          </w:p>
        </w:tc>
        <w:tc>
          <w:tcPr>
            <w:tcW w:w="873" w:type="dxa"/>
            <w:tcBorders>
              <w:top w:val="single" w:sz="4" w:space="0" w:color="auto"/>
              <w:left w:val="nil"/>
              <w:bottom w:val="single" w:sz="4" w:space="0" w:color="auto"/>
              <w:right w:val="single" w:sz="4" w:space="0" w:color="auto"/>
            </w:tcBorders>
            <w:shd w:val="clear" w:color="auto" w:fill="auto"/>
            <w:noWrap/>
            <w:vAlign w:val="center"/>
            <w:hideMark/>
          </w:tcPr>
          <w:p w:rsidR="00534F9E" w:rsidRPr="00283A39" w:rsidRDefault="00534F9E" w:rsidP="00F47CDB">
            <w:pPr>
              <w:jc w:val="center"/>
              <w:rPr>
                <w:sz w:val="12"/>
                <w:szCs w:val="12"/>
                <w:lang w:eastAsia="en-GB"/>
              </w:rPr>
            </w:pPr>
            <w:r w:rsidRPr="00283A39">
              <w:rPr>
                <w:sz w:val="12"/>
                <w:szCs w:val="12"/>
                <w:lang w:eastAsia="en-GB"/>
              </w:rPr>
              <w:t>5</w:t>
            </w:r>
          </w:p>
        </w:tc>
        <w:tc>
          <w:tcPr>
            <w:tcW w:w="623" w:type="dxa"/>
            <w:tcBorders>
              <w:top w:val="single" w:sz="4" w:space="0" w:color="auto"/>
              <w:left w:val="nil"/>
              <w:bottom w:val="single" w:sz="4" w:space="0" w:color="auto"/>
              <w:right w:val="single" w:sz="4" w:space="0" w:color="auto"/>
            </w:tcBorders>
            <w:shd w:val="clear" w:color="auto" w:fill="auto"/>
            <w:noWrap/>
            <w:vAlign w:val="center"/>
            <w:hideMark/>
          </w:tcPr>
          <w:p w:rsidR="00534F9E" w:rsidRPr="00283A39" w:rsidRDefault="00534F9E" w:rsidP="00F47CDB">
            <w:pPr>
              <w:jc w:val="center"/>
              <w:rPr>
                <w:sz w:val="12"/>
                <w:szCs w:val="12"/>
                <w:lang w:eastAsia="en-GB"/>
              </w:rPr>
            </w:pPr>
            <w:r w:rsidRPr="00283A39">
              <w:rPr>
                <w:sz w:val="12"/>
                <w:szCs w:val="12"/>
                <w:lang w:eastAsia="en-GB"/>
              </w:rPr>
              <w:t>6</w:t>
            </w:r>
          </w:p>
        </w:tc>
        <w:tc>
          <w:tcPr>
            <w:tcW w:w="873" w:type="dxa"/>
            <w:tcBorders>
              <w:top w:val="single" w:sz="4" w:space="0" w:color="auto"/>
              <w:left w:val="nil"/>
              <w:bottom w:val="single" w:sz="4" w:space="0" w:color="auto"/>
              <w:right w:val="single" w:sz="4" w:space="0" w:color="auto"/>
            </w:tcBorders>
            <w:shd w:val="clear" w:color="auto" w:fill="auto"/>
            <w:noWrap/>
            <w:vAlign w:val="center"/>
            <w:hideMark/>
          </w:tcPr>
          <w:p w:rsidR="00534F9E" w:rsidRPr="00283A39" w:rsidRDefault="00534F9E" w:rsidP="00F47CDB">
            <w:pPr>
              <w:jc w:val="center"/>
              <w:rPr>
                <w:sz w:val="12"/>
                <w:szCs w:val="12"/>
                <w:lang w:eastAsia="en-GB"/>
              </w:rPr>
            </w:pPr>
            <w:r w:rsidRPr="00283A39">
              <w:rPr>
                <w:sz w:val="12"/>
                <w:szCs w:val="12"/>
                <w:lang w:eastAsia="en-GB"/>
              </w:rPr>
              <w:t>7</w:t>
            </w:r>
          </w:p>
        </w:tc>
        <w:tc>
          <w:tcPr>
            <w:tcW w:w="623" w:type="dxa"/>
            <w:tcBorders>
              <w:top w:val="nil"/>
              <w:left w:val="nil"/>
              <w:bottom w:val="single" w:sz="4" w:space="0" w:color="auto"/>
              <w:right w:val="single" w:sz="4" w:space="0" w:color="auto"/>
            </w:tcBorders>
            <w:shd w:val="clear" w:color="auto" w:fill="auto"/>
            <w:noWrap/>
            <w:vAlign w:val="center"/>
            <w:hideMark/>
          </w:tcPr>
          <w:p w:rsidR="00534F9E" w:rsidRPr="00283A39" w:rsidRDefault="00534F9E" w:rsidP="00F47CDB">
            <w:pPr>
              <w:jc w:val="center"/>
              <w:rPr>
                <w:sz w:val="12"/>
                <w:szCs w:val="12"/>
                <w:lang w:eastAsia="en-GB"/>
              </w:rPr>
            </w:pPr>
            <w:r w:rsidRPr="00283A39">
              <w:rPr>
                <w:sz w:val="12"/>
                <w:szCs w:val="12"/>
                <w:lang w:eastAsia="en-GB"/>
              </w:rPr>
              <w:t>8</w:t>
            </w:r>
          </w:p>
        </w:tc>
        <w:tc>
          <w:tcPr>
            <w:tcW w:w="631" w:type="dxa"/>
            <w:tcBorders>
              <w:top w:val="nil"/>
              <w:left w:val="nil"/>
              <w:bottom w:val="single" w:sz="4" w:space="0" w:color="auto"/>
              <w:right w:val="single" w:sz="4" w:space="0" w:color="auto"/>
            </w:tcBorders>
            <w:shd w:val="clear" w:color="auto" w:fill="auto"/>
            <w:noWrap/>
            <w:vAlign w:val="center"/>
            <w:hideMark/>
          </w:tcPr>
          <w:p w:rsidR="00534F9E" w:rsidRPr="00283A39" w:rsidRDefault="00534F9E" w:rsidP="00F47CDB">
            <w:pPr>
              <w:jc w:val="center"/>
              <w:rPr>
                <w:sz w:val="12"/>
                <w:szCs w:val="12"/>
                <w:lang w:eastAsia="en-GB"/>
              </w:rPr>
            </w:pPr>
            <w:r w:rsidRPr="00283A39">
              <w:rPr>
                <w:sz w:val="12"/>
                <w:szCs w:val="12"/>
                <w:lang w:eastAsia="en-GB"/>
              </w:rPr>
              <w:t>9</w:t>
            </w:r>
          </w:p>
        </w:tc>
        <w:tc>
          <w:tcPr>
            <w:tcW w:w="873" w:type="dxa"/>
            <w:tcBorders>
              <w:top w:val="nil"/>
              <w:left w:val="nil"/>
              <w:bottom w:val="single" w:sz="4" w:space="0" w:color="auto"/>
              <w:right w:val="single" w:sz="4" w:space="0" w:color="auto"/>
            </w:tcBorders>
            <w:shd w:val="clear" w:color="auto" w:fill="auto"/>
            <w:noWrap/>
            <w:vAlign w:val="center"/>
            <w:hideMark/>
          </w:tcPr>
          <w:p w:rsidR="00534F9E" w:rsidRPr="00283A39" w:rsidRDefault="00534F9E" w:rsidP="00F47CDB">
            <w:pPr>
              <w:jc w:val="center"/>
              <w:rPr>
                <w:sz w:val="12"/>
                <w:szCs w:val="12"/>
                <w:lang w:eastAsia="en-GB"/>
              </w:rPr>
            </w:pPr>
            <w:r w:rsidRPr="00283A39">
              <w:rPr>
                <w:sz w:val="12"/>
                <w:szCs w:val="12"/>
                <w:lang w:eastAsia="en-GB"/>
              </w:rPr>
              <w:t>10</w:t>
            </w:r>
          </w:p>
        </w:tc>
        <w:tc>
          <w:tcPr>
            <w:tcW w:w="697" w:type="dxa"/>
            <w:tcBorders>
              <w:top w:val="nil"/>
              <w:left w:val="nil"/>
              <w:bottom w:val="single" w:sz="4" w:space="0" w:color="auto"/>
              <w:right w:val="single" w:sz="4" w:space="0" w:color="auto"/>
            </w:tcBorders>
            <w:shd w:val="clear" w:color="auto" w:fill="auto"/>
            <w:noWrap/>
            <w:vAlign w:val="center"/>
            <w:hideMark/>
          </w:tcPr>
          <w:p w:rsidR="00534F9E" w:rsidRPr="00283A39" w:rsidRDefault="00534F9E" w:rsidP="00F47CDB">
            <w:pPr>
              <w:jc w:val="center"/>
              <w:rPr>
                <w:sz w:val="12"/>
                <w:szCs w:val="12"/>
                <w:lang w:eastAsia="en-GB"/>
              </w:rPr>
            </w:pPr>
            <w:r>
              <w:rPr>
                <w:sz w:val="12"/>
                <w:szCs w:val="12"/>
                <w:lang w:eastAsia="en-GB"/>
              </w:rPr>
              <w:t>11</w:t>
            </w:r>
          </w:p>
        </w:tc>
        <w:tc>
          <w:tcPr>
            <w:tcW w:w="873" w:type="dxa"/>
            <w:tcBorders>
              <w:top w:val="nil"/>
              <w:left w:val="nil"/>
              <w:bottom w:val="single" w:sz="4" w:space="0" w:color="auto"/>
              <w:right w:val="single" w:sz="4" w:space="0" w:color="auto"/>
            </w:tcBorders>
            <w:shd w:val="clear" w:color="auto" w:fill="auto"/>
            <w:noWrap/>
            <w:vAlign w:val="center"/>
            <w:hideMark/>
          </w:tcPr>
          <w:p w:rsidR="00534F9E" w:rsidRPr="00283A39" w:rsidRDefault="00534F9E" w:rsidP="00F47CDB">
            <w:pPr>
              <w:jc w:val="center"/>
              <w:rPr>
                <w:sz w:val="12"/>
                <w:szCs w:val="12"/>
                <w:lang w:eastAsia="en-GB"/>
              </w:rPr>
            </w:pPr>
            <w:r w:rsidRPr="00283A39">
              <w:rPr>
                <w:sz w:val="12"/>
                <w:szCs w:val="12"/>
                <w:lang w:eastAsia="en-GB"/>
              </w:rPr>
              <w:t>12</w:t>
            </w:r>
          </w:p>
        </w:tc>
        <w:tc>
          <w:tcPr>
            <w:tcW w:w="533" w:type="dxa"/>
            <w:tcBorders>
              <w:top w:val="nil"/>
              <w:left w:val="nil"/>
              <w:bottom w:val="single" w:sz="4" w:space="0" w:color="auto"/>
              <w:right w:val="single" w:sz="4" w:space="0" w:color="auto"/>
            </w:tcBorders>
            <w:shd w:val="clear" w:color="auto" w:fill="auto"/>
            <w:noWrap/>
            <w:vAlign w:val="center"/>
            <w:hideMark/>
          </w:tcPr>
          <w:p w:rsidR="00534F9E" w:rsidRPr="00283A39" w:rsidRDefault="00534F9E" w:rsidP="00F47CDB">
            <w:pPr>
              <w:jc w:val="center"/>
              <w:rPr>
                <w:sz w:val="12"/>
                <w:szCs w:val="12"/>
                <w:lang w:eastAsia="en-GB"/>
              </w:rPr>
            </w:pPr>
            <w:r w:rsidRPr="00283A39">
              <w:rPr>
                <w:sz w:val="12"/>
                <w:szCs w:val="12"/>
                <w:lang w:eastAsia="en-GB"/>
              </w:rPr>
              <w:t>13</w:t>
            </w:r>
          </w:p>
        </w:tc>
      </w:tr>
      <w:tr w:rsidR="00534F9E" w:rsidRPr="00283A39" w:rsidTr="00F47CDB">
        <w:trPr>
          <w:trHeight w:val="330"/>
        </w:trPr>
        <w:tc>
          <w:tcPr>
            <w:tcW w:w="449" w:type="dxa"/>
            <w:tcBorders>
              <w:top w:val="nil"/>
              <w:left w:val="single" w:sz="4" w:space="0" w:color="auto"/>
              <w:bottom w:val="single" w:sz="4" w:space="0" w:color="auto"/>
              <w:right w:val="single" w:sz="4" w:space="0" w:color="auto"/>
            </w:tcBorders>
            <w:shd w:val="clear" w:color="000000" w:fill="F2F2F2"/>
            <w:noWrap/>
            <w:hideMark/>
          </w:tcPr>
          <w:p w:rsidR="00534F9E" w:rsidRPr="00283A39" w:rsidRDefault="00534F9E" w:rsidP="00F47CDB">
            <w:pPr>
              <w:jc w:val="right"/>
              <w:rPr>
                <w:b/>
                <w:bCs/>
                <w:sz w:val="10"/>
                <w:szCs w:val="10"/>
                <w:lang w:eastAsia="en-GB"/>
              </w:rPr>
            </w:pPr>
            <w:r w:rsidRPr="00283A39">
              <w:rPr>
                <w:b/>
                <w:bCs/>
                <w:sz w:val="10"/>
                <w:szCs w:val="10"/>
                <w:lang w:eastAsia="en-GB"/>
              </w:rPr>
              <w:t>A</w:t>
            </w:r>
          </w:p>
        </w:tc>
        <w:tc>
          <w:tcPr>
            <w:tcW w:w="1129" w:type="dxa"/>
            <w:tcBorders>
              <w:top w:val="nil"/>
              <w:left w:val="nil"/>
              <w:bottom w:val="single" w:sz="4" w:space="0" w:color="auto"/>
              <w:right w:val="single" w:sz="4" w:space="0" w:color="auto"/>
            </w:tcBorders>
            <w:shd w:val="clear" w:color="000000" w:fill="F2F2F2"/>
            <w:hideMark/>
          </w:tcPr>
          <w:p w:rsidR="00534F9E" w:rsidRPr="00283A39" w:rsidRDefault="00534F9E" w:rsidP="00F47CDB">
            <w:pPr>
              <w:rPr>
                <w:b/>
                <w:bCs/>
                <w:sz w:val="10"/>
                <w:szCs w:val="10"/>
                <w:lang w:eastAsia="en-GB"/>
              </w:rPr>
            </w:pPr>
            <w:r w:rsidRPr="00283A39">
              <w:rPr>
                <w:b/>
                <w:bCs/>
                <w:sz w:val="10"/>
                <w:szCs w:val="10"/>
                <w:lang w:eastAsia="en-GB"/>
              </w:rPr>
              <w:t>Račun prihoda                                    ( I+II+III)</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198.004.193</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202.508.212</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183.363.752</w:t>
            </w:r>
          </w:p>
        </w:tc>
        <w:tc>
          <w:tcPr>
            <w:tcW w:w="62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102,3</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168.955.281</w:t>
            </w:r>
          </w:p>
        </w:tc>
        <w:tc>
          <w:tcPr>
            <w:tcW w:w="62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83,4</w:t>
            </w:r>
          </w:p>
        </w:tc>
        <w:tc>
          <w:tcPr>
            <w:tcW w:w="631"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99,82</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176.630.445</w:t>
            </w:r>
          </w:p>
        </w:tc>
        <w:tc>
          <w:tcPr>
            <w:tcW w:w="697"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104,54</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180.089.695</w:t>
            </w:r>
          </w:p>
        </w:tc>
        <w:tc>
          <w:tcPr>
            <w:tcW w:w="53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102,0</w:t>
            </w:r>
          </w:p>
        </w:tc>
      </w:tr>
      <w:tr w:rsidR="00534F9E" w:rsidRPr="00283A39" w:rsidTr="00F47CDB">
        <w:trPr>
          <w:trHeight w:val="280"/>
        </w:trPr>
        <w:tc>
          <w:tcPr>
            <w:tcW w:w="449" w:type="dxa"/>
            <w:tcBorders>
              <w:top w:val="nil"/>
              <w:left w:val="single" w:sz="4" w:space="0" w:color="auto"/>
              <w:bottom w:val="single" w:sz="4" w:space="0" w:color="auto"/>
              <w:right w:val="single" w:sz="4" w:space="0" w:color="auto"/>
            </w:tcBorders>
            <w:shd w:val="clear" w:color="auto" w:fill="auto"/>
            <w:noWrap/>
            <w:hideMark/>
          </w:tcPr>
          <w:p w:rsidR="00534F9E" w:rsidRPr="00283A39" w:rsidRDefault="00534F9E" w:rsidP="00F47CDB">
            <w:pPr>
              <w:jc w:val="right"/>
              <w:rPr>
                <w:b/>
                <w:bCs/>
                <w:sz w:val="10"/>
                <w:szCs w:val="10"/>
                <w:lang w:eastAsia="en-GB"/>
              </w:rPr>
            </w:pPr>
            <w:r w:rsidRPr="00283A39">
              <w:rPr>
                <w:b/>
                <w:bCs/>
                <w:sz w:val="10"/>
                <w:szCs w:val="10"/>
                <w:lang w:eastAsia="en-GB"/>
              </w:rPr>
              <w:t>I</w:t>
            </w:r>
          </w:p>
        </w:tc>
        <w:tc>
          <w:tcPr>
            <w:tcW w:w="1129"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rPr>
                <w:b/>
                <w:bCs/>
                <w:sz w:val="10"/>
                <w:szCs w:val="10"/>
                <w:lang w:eastAsia="en-GB"/>
              </w:rPr>
            </w:pPr>
            <w:r w:rsidRPr="00283A39">
              <w:rPr>
                <w:b/>
                <w:bCs/>
                <w:sz w:val="10"/>
                <w:szCs w:val="10"/>
                <w:lang w:eastAsia="en-GB"/>
              </w:rPr>
              <w:t>Porezni prihodi</w:t>
            </w:r>
          </w:p>
        </w:tc>
        <w:tc>
          <w:tcPr>
            <w:tcW w:w="873" w:type="dxa"/>
            <w:tcBorders>
              <w:top w:val="nil"/>
              <w:left w:val="nil"/>
              <w:bottom w:val="single" w:sz="4" w:space="0" w:color="auto"/>
              <w:right w:val="single" w:sz="4" w:space="0" w:color="auto"/>
            </w:tcBorders>
            <w:shd w:val="clear" w:color="000000" w:fill="FFFFFF"/>
            <w:noWrap/>
            <w:hideMark/>
          </w:tcPr>
          <w:p w:rsidR="00534F9E" w:rsidRPr="00283A39" w:rsidRDefault="00534F9E" w:rsidP="00F47CDB">
            <w:pPr>
              <w:jc w:val="right"/>
              <w:rPr>
                <w:b/>
                <w:bCs/>
                <w:sz w:val="12"/>
                <w:szCs w:val="12"/>
                <w:lang w:eastAsia="en-GB"/>
              </w:rPr>
            </w:pPr>
            <w:r w:rsidRPr="00283A39">
              <w:rPr>
                <w:b/>
                <w:bCs/>
                <w:sz w:val="12"/>
                <w:szCs w:val="12"/>
                <w:lang w:eastAsia="en-GB"/>
              </w:rPr>
              <w:t>186.368.142</w:t>
            </w:r>
          </w:p>
        </w:tc>
        <w:tc>
          <w:tcPr>
            <w:tcW w:w="873" w:type="dxa"/>
            <w:tcBorders>
              <w:top w:val="nil"/>
              <w:left w:val="nil"/>
              <w:bottom w:val="single" w:sz="4" w:space="0" w:color="auto"/>
              <w:right w:val="single" w:sz="4" w:space="0" w:color="auto"/>
            </w:tcBorders>
            <w:shd w:val="clear" w:color="000000" w:fill="FFFFFF"/>
            <w:noWrap/>
            <w:hideMark/>
          </w:tcPr>
          <w:p w:rsidR="00534F9E" w:rsidRPr="00283A39" w:rsidRDefault="00534F9E" w:rsidP="00F47CDB">
            <w:pPr>
              <w:jc w:val="right"/>
              <w:rPr>
                <w:b/>
                <w:bCs/>
                <w:sz w:val="12"/>
                <w:szCs w:val="12"/>
                <w:lang w:eastAsia="en-GB"/>
              </w:rPr>
            </w:pPr>
            <w:r w:rsidRPr="00283A39">
              <w:rPr>
                <w:b/>
                <w:bCs/>
                <w:sz w:val="12"/>
                <w:szCs w:val="12"/>
                <w:lang w:eastAsia="en-GB"/>
              </w:rPr>
              <w:t>184.688.212</w:t>
            </w:r>
          </w:p>
        </w:tc>
        <w:tc>
          <w:tcPr>
            <w:tcW w:w="873" w:type="dxa"/>
            <w:tcBorders>
              <w:top w:val="nil"/>
              <w:left w:val="nil"/>
              <w:bottom w:val="single" w:sz="4" w:space="0" w:color="auto"/>
              <w:right w:val="single" w:sz="4" w:space="0" w:color="auto"/>
            </w:tcBorders>
            <w:shd w:val="clear" w:color="000000" w:fill="FFFFFF"/>
            <w:noWrap/>
            <w:hideMark/>
          </w:tcPr>
          <w:p w:rsidR="00534F9E" w:rsidRPr="00283A39" w:rsidRDefault="00534F9E" w:rsidP="00F47CDB">
            <w:pPr>
              <w:jc w:val="right"/>
              <w:rPr>
                <w:b/>
                <w:bCs/>
                <w:sz w:val="12"/>
                <w:szCs w:val="12"/>
                <w:lang w:eastAsia="en-GB"/>
              </w:rPr>
            </w:pPr>
            <w:r w:rsidRPr="00283A39">
              <w:rPr>
                <w:b/>
                <w:bCs/>
                <w:sz w:val="12"/>
                <w:szCs w:val="12"/>
                <w:lang w:eastAsia="en-GB"/>
              </w:rPr>
              <w:t>147.963.752</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99,1</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154.155.281</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83,5</w:t>
            </w:r>
          </w:p>
        </w:tc>
        <w:tc>
          <w:tcPr>
            <w:tcW w:w="631"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91,08</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162.630.445</w:t>
            </w:r>
          </w:p>
        </w:tc>
        <w:tc>
          <w:tcPr>
            <w:tcW w:w="697"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105,50</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164.989.695</w:t>
            </w:r>
          </w:p>
        </w:tc>
        <w:tc>
          <w:tcPr>
            <w:tcW w:w="53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101,5</w:t>
            </w:r>
          </w:p>
        </w:tc>
      </w:tr>
      <w:tr w:rsidR="00534F9E" w:rsidRPr="00283A39" w:rsidTr="00F47CDB">
        <w:trPr>
          <w:trHeight w:val="280"/>
        </w:trPr>
        <w:tc>
          <w:tcPr>
            <w:tcW w:w="449" w:type="dxa"/>
            <w:tcBorders>
              <w:top w:val="nil"/>
              <w:left w:val="single" w:sz="4" w:space="0" w:color="auto"/>
              <w:bottom w:val="single" w:sz="4" w:space="0" w:color="auto"/>
              <w:right w:val="single" w:sz="4" w:space="0" w:color="auto"/>
            </w:tcBorders>
            <w:shd w:val="clear" w:color="auto" w:fill="auto"/>
            <w:noWrap/>
            <w:hideMark/>
          </w:tcPr>
          <w:p w:rsidR="00534F9E" w:rsidRPr="00283A39" w:rsidRDefault="00534F9E" w:rsidP="00F47CDB">
            <w:pPr>
              <w:jc w:val="right"/>
              <w:rPr>
                <w:sz w:val="10"/>
                <w:szCs w:val="10"/>
                <w:lang w:eastAsia="en-GB"/>
              </w:rPr>
            </w:pPr>
            <w:r w:rsidRPr="00283A39">
              <w:rPr>
                <w:sz w:val="10"/>
                <w:szCs w:val="10"/>
                <w:lang w:eastAsia="en-GB"/>
              </w:rPr>
              <w:t>717</w:t>
            </w:r>
          </w:p>
        </w:tc>
        <w:tc>
          <w:tcPr>
            <w:tcW w:w="1129"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rPr>
                <w:sz w:val="10"/>
                <w:szCs w:val="10"/>
                <w:lang w:eastAsia="en-GB"/>
              </w:rPr>
            </w:pPr>
            <w:r w:rsidRPr="00283A39">
              <w:rPr>
                <w:sz w:val="10"/>
                <w:szCs w:val="10"/>
                <w:lang w:eastAsia="en-GB"/>
              </w:rPr>
              <w:t xml:space="preserve"> Indirektni porezi</w:t>
            </w:r>
          </w:p>
        </w:tc>
        <w:tc>
          <w:tcPr>
            <w:tcW w:w="873" w:type="dxa"/>
            <w:tcBorders>
              <w:top w:val="nil"/>
              <w:left w:val="nil"/>
              <w:bottom w:val="single" w:sz="4" w:space="0" w:color="auto"/>
              <w:right w:val="single" w:sz="4" w:space="0" w:color="auto"/>
            </w:tcBorders>
            <w:shd w:val="clear" w:color="000000" w:fill="FFFFFF"/>
            <w:noWrap/>
            <w:hideMark/>
          </w:tcPr>
          <w:p w:rsidR="00534F9E" w:rsidRPr="00283A39" w:rsidRDefault="00534F9E" w:rsidP="00F47CDB">
            <w:pPr>
              <w:jc w:val="right"/>
              <w:rPr>
                <w:sz w:val="12"/>
                <w:szCs w:val="12"/>
                <w:lang w:eastAsia="en-GB"/>
              </w:rPr>
            </w:pPr>
            <w:r w:rsidRPr="00283A39">
              <w:rPr>
                <w:sz w:val="12"/>
                <w:szCs w:val="12"/>
                <w:lang w:eastAsia="en-GB"/>
              </w:rPr>
              <w:t>155.569.847</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153.275.960</w:t>
            </w:r>
          </w:p>
        </w:tc>
        <w:tc>
          <w:tcPr>
            <w:tcW w:w="873" w:type="dxa"/>
            <w:tcBorders>
              <w:top w:val="nil"/>
              <w:left w:val="nil"/>
              <w:bottom w:val="nil"/>
              <w:right w:val="nil"/>
            </w:tcBorders>
            <w:shd w:val="clear" w:color="auto" w:fill="auto"/>
            <w:noWrap/>
            <w:hideMark/>
          </w:tcPr>
          <w:p w:rsidR="00534F9E" w:rsidRPr="00283A39" w:rsidRDefault="00534F9E" w:rsidP="00F47CDB">
            <w:pPr>
              <w:jc w:val="right"/>
              <w:rPr>
                <w:color w:val="000000"/>
                <w:sz w:val="12"/>
                <w:szCs w:val="12"/>
                <w:lang w:eastAsia="en-GB"/>
              </w:rPr>
            </w:pPr>
            <w:r w:rsidRPr="00283A39">
              <w:rPr>
                <w:color w:val="000000"/>
                <w:sz w:val="12"/>
                <w:szCs w:val="12"/>
                <w:lang w:eastAsia="en-GB"/>
              </w:rPr>
              <w:t>130.647.500</w:t>
            </w:r>
          </w:p>
        </w:tc>
        <w:tc>
          <w:tcPr>
            <w:tcW w:w="623" w:type="dxa"/>
            <w:tcBorders>
              <w:top w:val="nil"/>
              <w:left w:val="single" w:sz="4" w:space="0" w:color="auto"/>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98,5</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136.390.135</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89,0</w:t>
            </w:r>
          </w:p>
        </w:tc>
        <w:tc>
          <w:tcPr>
            <w:tcW w:w="631"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80,58</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144.314.580</w:t>
            </w:r>
          </w:p>
        </w:tc>
        <w:tc>
          <w:tcPr>
            <w:tcW w:w="697"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105,81</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146.087.722</w:t>
            </w:r>
          </w:p>
        </w:tc>
        <w:tc>
          <w:tcPr>
            <w:tcW w:w="53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101,2</w:t>
            </w:r>
          </w:p>
        </w:tc>
      </w:tr>
      <w:tr w:rsidR="00534F9E" w:rsidRPr="00283A39" w:rsidTr="00F47CDB">
        <w:trPr>
          <w:trHeight w:val="280"/>
        </w:trPr>
        <w:tc>
          <w:tcPr>
            <w:tcW w:w="449" w:type="dxa"/>
            <w:tcBorders>
              <w:top w:val="nil"/>
              <w:left w:val="single" w:sz="4" w:space="0" w:color="auto"/>
              <w:bottom w:val="single" w:sz="4" w:space="0" w:color="auto"/>
              <w:right w:val="single" w:sz="4" w:space="0" w:color="auto"/>
            </w:tcBorders>
            <w:shd w:val="clear" w:color="auto" w:fill="auto"/>
            <w:noWrap/>
            <w:hideMark/>
          </w:tcPr>
          <w:p w:rsidR="00534F9E" w:rsidRPr="00283A39" w:rsidRDefault="00534F9E" w:rsidP="00F47CDB">
            <w:pPr>
              <w:jc w:val="right"/>
              <w:rPr>
                <w:sz w:val="10"/>
                <w:szCs w:val="10"/>
                <w:lang w:eastAsia="en-GB"/>
              </w:rPr>
            </w:pPr>
            <w:r w:rsidRPr="00283A39">
              <w:rPr>
                <w:sz w:val="10"/>
                <w:szCs w:val="10"/>
                <w:lang w:eastAsia="en-GB"/>
              </w:rPr>
              <w:t>711</w:t>
            </w:r>
          </w:p>
        </w:tc>
        <w:tc>
          <w:tcPr>
            <w:tcW w:w="1129"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rPr>
                <w:sz w:val="10"/>
                <w:szCs w:val="10"/>
                <w:lang w:eastAsia="en-GB"/>
              </w:rPr>
            </w:pPr>
            <w:r w:rsidRPr="00283A39">
              <w:rPr>
                <w:sz w:val="10"/>
                <w:szCs w:val="10"/>
                <w:lang w:eastAsia="en-GB"/>
              </w:rPr>
              <w:t>Porez na dobit</w:t>
            </w:r>
          </w:p>
        </w:tc>
        <w:tc>
          <w:tcPr>
            <w:tcW w:w="873" w:type="dxa"/>
            <w:tcBorders>
              <w:top w:val="nil"/>
              <w:left w:val="nil"/>
              <w:bottom w:val="single" w:sz="4" w:space="0" w:color="auto"/>
              <w:right w:val="single" w:sz="4" w:space="0" w:color="auto"/>
            </w:tcBorders>
            <w:shd w:val="clear" w:color="000000" w:fill="FFFFFF"/>
            <w:noWrap/>
            <w:hideMark/>
          </w:tcPr>
          <w:p w:rsidR="00534F9E" w:rsidRPr="00283A39" w:rsidRDefault="00534F9E" w:rsidP="00F47CDB">
            <w:pPr>
              <w:jc w:val="right"/>
              <w:rPr>
                <w:sz w:val="12"/>
                <w:szCs w:val="12"/>
                <w:lang w:eastAsia="en-GB"/>
              </w:rPr>
            </w:pPr>
            <w:r w:rsidRPr="00283A39">
              <w:rPr>
                <w:sz w:val="12"/>
                <w:szCs w:val="12"/>
                <w:lang w:eastAsia="en-GB"/>
              </w:rPr>
              <w:t>12.478.561</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13.002.997</w:t>
            </w:r>
          </w:p>
        </w:tc>
        <w:tc>
          <w:tcPr>
            <w:tcW w:w="873" w:type="dxa"/>
            <w:tcBorders>
              <w:top w:val="single" w:sz="4" w:space="0" w:color="auto"/>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4.721.802</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104,2</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4.818.051</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37,1</w:t>
            </w:r>
          </w:p>
        </w:tc>
        <w:tc>
          <w:tcPr>
            <w:tcW w:w="631"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2,85</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4.967.411</w:t>
            </w:r>
          </w:p>
        </w:tc>
        <w:tc>
          <w:tcPr>
            <w:tcW w:w="697"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103,10</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5.126.368</w:t>
            </w:r>
          </w:p>
        </w:tc>
        <w:tc>
          <w:tcPr>
            <w:tcW w:w="53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103,2</w:t>
            </w:r>
          </w:p>
        </w:tc>
      </w:tr>
      <w:tr w:rsidR="00534F9E" w:rsidRPr="00283A39" w:rsidTr="00F47CDB">
        <w:trPr>
          <w:trHeight w:val="280"/>
        </w:trPr>
        <w:tc>
          <w:tcPr>
            <w:tcW w:w="449" w:type="dxa"/>
            <w:tcBorders>
              <w:top w:val="nil"/>
              <w:left w:val="single" w:sz="4" w:space="0" w:color="auto"/>
              <w:bottom w:val="single" w:sz="4" w:space="0" w:color="auto"/>
              <w:right w:val="single" w:sz="4" w:space="0" w:color="auto"/>
            </w:tcBorders>
            <w:shd w:val="clear" w:color="auto" w:fill="auto"/>
            <w:noWrap/>
            <w:hideMark/>
          </w:tcPr>
          <w:p w:rsidR="00534F9E" w:rsidRPr="00283A39" w:rsidRDefault="00534F9E" w:rsidP="00F47CDB">
            <w:pPr>
              <w:jc w:val="right"/>
              <w:rPr>
                <w:sz w:val="10"/>
                <w:szCs w:val="10"/>
                <w:lang w:eastAsia="en-GB"/>
              </w:rPr>
            </w:pPr>
            <w:r w:rsidRPr="00283A39">
              <w:rPr>
                <w:sz w:val="10"/>
                <w:szCs w:val="10"/>
                <w:lang w:eastAsia="en-GB"/>
              </w:rPr>
              <w:t>716</w:t>
            </w:r>
          </w:p>
        </w:tc>
        <w:tc>
          <w:tcPr>
            <w:tcW w:w="1129"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rPr>
                <w:sz w:val="10"/>
                <w:szCs w:val="10"/>
                <w:lang w:eastAsia="en-GB"/>
              </w:rPr>
            </w:pPr>
            <w:r w:rsidRPr="00283A39">
              <w:rPr>
                <w:sz w:val="10"/>
                <w:szCs w:val="10"/>
                <w:lang w:eastAsia="en-GB"/>
              </w:rPr>
              <w:t>Porez na  dohodak</w:t>
            </w:r>
          </w:p>
        </w:tc>
        <w:tc>
          <w:tcPr>
            <w:tcW w:w="873" w:type="dxa"/>
            <w:tcBorders>
              <w:top w:val="nil"/>
              <w:left w:val="nil"/>
              <w:bottom w:val="single" w:sz="4" w:space="0" w:color="auto"/>
              <w:right w:val="single" w:sz="4" w:space="0" w:color="auto"/>
            </w:tcBorders>
            <w:shd w:val="clear" w:color="000000" w:fill="FFFFFF"/>
            <w:noWrap/>
            <w:hideMark/>
          </w:tcPr>
          <w:p w:rsidR="00534F9E" w:rsidRPr="00283A39" w:rsidRDefault="00534F9E" w:rsidP="00F47CDB">
            <w:pPr>
              <w:jc w:val="right"/>
              <w:rPr>
                <w:sz w:val="12"/>
                <w:szCs w:val="12"/>
                <w:lang w:eastAsia="en-GB"/>
              </w:rPr>
            </w:pPr>
            <w:r w:rsidRPr="00283A39">
              <w:rPr>
                <w:sz w:val="12"/>
                <w:szCs w:val="12"/>
                <w:lang w:eastAsia="en-GB"/>
              </w:rPr>
              <w:t>18.319.734</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18.409.255</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12.594.450</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100,5</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12.947.095</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70,3</w:t>
            </w:r>
          </w:p>
        </w:tc>
        <w:tc>
          <w:tcPr>
            <w:tcW w:w="631"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7,65</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13.348.454</w:t>
            </w:r>
          </w:p>
        </w:tc>
        <w:tc>
          <w:tcPr>
            <w:tcW w:w="697"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103,10</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13.775.605</w:t>
            </w:r>
          </w:p>
        </w:tc>
        <w:tc>
          <w:tcPr>
            <w:tcW w:w="53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103,2</w:t>
            </w:r>
          </w:p>
        </w:tc>
      </w:tr>
      <w:tr w:rsidR="00534F9E" w:rsidRPr="00283A39" w:rsidTr="00F47CDB">
        <w:trPr>
          <w:trHeight w:val="280"/>
        </w:trPr>
        <w:tc>
          <w:tcPr>
            <w:tcW w:w="9923" w:type="dxa"/>
            <w:gridSpan w:val="13"/>
            <w:tcBorders>
              <w:top w:val="single" w:sz="4" w:space="0" w:color="auto"/>
              <w:left w:val="single" w:sz="4" w:space="0" w:color="auto"/>
              <w:bottom w:val="single" w:sz="4" w:space="0" w:color="auto"/>
              <w:right w:val="nil"/>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 </w:t>
            </w:r>
          </w:p>
        </w:tc>
      </w:tr>
      <w:tr w:rsidR="00534F9E" w:rsidRPr="00283A39" w:rsidTr="00F47CDB">
        <w:trPr>
          <w:trHeight w:val="280"/>
        </w:trPr>
        <w:tc>
          <w:tcPr>
            <w:tcW w:w="449" w:type="dxa"/>
            <w:tcBorders>
              <w:top w:val="nil"/>
              <w:left w:val="single" w:sz="4" w:space="0" w:color="auto"/>
              <w:bottom w:val="single" w:sz="4" w:space="0" w:color="auto"/>
              <w:right w:val="single" w:sz="4" w:space="0" w:color="auto"/>
            </w:tcBorders>
            <w:shd w:val="clear" w:color="auto" w:fill="auto"/>
            <w:noWrap/>
            <w:hideMark/>
          </w:tcPr>
          <w:p w:rsidR="00534F9E" w:rsidRPr="00283A39" w:rsidRDefault="00534F9E" w:rsidP="00F47CDB">
            <w:pPr>
              <w:jc w:val="right"/>
              <w:rPr>
                <w:b/>
                <w:bCs/>
                <w:sz w:val="10"/>
                <w:szCs w:val="10"/>
                <w:lang w:eastAsia="en-GB"/>
              </w:rPr>
            </w:pPr>
            <w:r w:rsidRPr="00283A39">
              <w:rPr>
                <w:b/>
                <w:bCs/>
                <w:sz w:val="10"/>
                <w:szCs w:val="10"/>
                <w:lang w:eastAsia="en-GB"/>
              </w:rPr>
              <w:t>II</w:t>
            </w:r>
          </w:p>
        </w:tc>
        <w:tc>
          <w:tcPr>
            <w:tcW w:w="1129"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rPr>
                <w:b/>
                <w:bCs/>
                <w:sz w:val="10"/>
                <w:szCs w:val="10"/>
                <w:lang w:eastAsia="en-GB"/>
              </w:rPr>
            </w:pPr>
            <w:r w:rsidRPr="00283A39">
              <w:rPr>
                <w:b/>
                <w:bCs/>
                <w:sz w:val="10"/>
                <w:szCs w:val="10"/>
                <w:lang w:eastAsia="en-GB"/>
              </w:rPr>
              <w:t>Neporezni prihodi</w:t>
            </w:r>
          </w:p>
        </w:tc>
        <w:tc>
          <w:tcPr>
            <w:tcW w:w="873" w:type="dxa"/>
            <w:tcBorders>
              <w:top w:val="nil"/>
              <w:left w:val="nil"/>
              <w:bottom w:val="single" w:sz="4" w:space="0" w:color="auto"/>
              <w:right w:val="single" w:sz="4" w:space="0" w:color="auto"/>
            </w:tcBorders>
            <w:shd w:val="clear" w:color="000000" w:fill="FFFFFF"/>
            <w:noWrap/>
            <w:hideMark/>
          </w:tcPr>
          <w:p w:rsidR="00534F9E" w:rsidRPr="00283A39" w:rsidRDefault="00534F9E" w:rsidP="00F47CDB">
            <w:pPr>
              <w:jc w:val="right"/>
              <w:rPr>
                <w:b/>
                <w:bCs/>
                <w:sz w:val="12"/>
                <w:szCs w:val="12"/>
                <w:lang w:eastAsia="en-GB"/>
              </w:rPr>
            </w:pPr>
            <w:r w:rsidRPr="00283A39">
              <w:rPr>
                <w:b/>
                <w:bCs/>
                <w:sz w:val="12"/>
                <w:szCs w:val="12"/>
                <w:lang w:eastAsia="en-GB"/>
              </w:rPr>
              <w:t>9.636.051</w:t>
            </w:r>
          </w:p>
        </w:tc>
        <w:tc>
          <w:tcPr>
            <w:tcW w:w="873" w:type="dxa"/>
            <w:tcBorders>
              <w:top w:val="nil"/>
              <w:left w:val="nil"/>
              <w:bottom w:val="single" w:sz="4" w:space="0" w:color="auto"/>
              <w:right w:val="single" w:sz="4" w:space="0" w:color="auto"/>
            </w:tcBorders>
            <w:shd w:val="clear" w:color="000000" w:fill="FFFFFF"/>
            <w:noWrap/>
            <w:hideMark/>
          </w:tcPr>
          <w:p w:rsidR="00534F9E" w:rsidRPr="00283A39" w:rsidRDefault="00534F9E" w:rsidP="00F47CDB">
            <w:pPr>
              <w:jc w:val="right"/>
              <w:rPr>
                <w:b/>
                <w:bCs/>
                <w:sz w:val="12"/>
                <w:szCs w:val="12"/>
                <w:lang w:eastAsia="en-GB"/>
              </w:rPr>
            </w:pPr>
            <w:r w:rsidRPr="00283A39">
              <w:rPr>
                <w:b/>
                <w:bCs/>
                <w:sz w:val="12"/>
                <w:szCs w:val="12"/>
                <w:lang w:eastAsia="en-GB"/>
              </w:rPr>
              <w:t>13.820.000</w:t>
            </w:r>
          </w:p>
        </w:tc>
        <w:tc>
          <w:tcPr>
            <w:tcW w:w="873" w:type="dxa"/>
            <w:tcBorders>
              <w:top w:val="nil"/>
              <w:left w:val="nil"/>
              <w:bottom w:val="single" w:sz="4" w:space="0" w:color="auto"/>
              <w:right w:val="single" w:sz="4" w:space="0" w:color="auto"/>
            </w:tcBorders>
            <w:shd w:val="clear" w:color="000000" w:fill="FFFFFF"/>
            <w:noWrap/>
            <w:hideMark/>
          </w:tcPr>
          <w:p w:rsidR="00534F9E" w:rsidRPr="00283A39" w:rsidRDefault="00534F9E" w:rsidP="00F47CDB">
            <w:pPr>
              <w:jc w:val="right"/>
              <w:rPr>
                <w:b/>
                <w:bCs/>
                <w:sz w:val="12"/>
                <w:szCs w:val="12"/>
                <w:lang w:eastAsia="en-GB"/>
              </w:rPr>
            </w:pPr>
            <w:r w:rsidRPr="00283A39">
              <w:rPr>
                <w:b/>
                <w:bCs/>
                <w:sz w:val="12"/>
                <w:szCs w:val="12"/>
                <w:lang w:eastAsia="en-GB"/>
              </w:rPr>
              <w:t>10.800.000</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143,4</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10.800.000</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78,1</w:t>
            </w:r>
          </w:p>
        </w:tc>
        <w:tc>
          <w:tcPr>
            <w:tcW w:w="631"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6,38</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11.000.000</w:t>
            </w:r>
          </w:p>
        </w:tc>
        <w:tc>
          <w:tcPr>
            <w:tcW w:w="697"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101,85</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12.100.000</w:t>
            </w:r>
          </w:p>
        </w:tc>
        <w:tc>
          <w:tcPr>
            <w:tcW w:w="53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110,0</w:t>
            </w:r>
          </w:p>
        </w:tc>
      </w:tr>
      <w:tr w:rsidR="00534F9E" w:rsidRPr="00283A39" w:rsidTr="00F47CDB">
        <w:trPr>
          <w:trHeight w:val="280"/>
        </w:trPr>
        <w:tc>
          <w:tcPr>
            <w:tcW w:w="449" w:type="dxa"/>
            <w:tcBorders>
              <w:top w:val="nil"/>
              <w:left w:val="single" w:sz="4" w:space="0" w:color="auto"/>
              <w:bottom w:val="single" w:sz="4" w:space="0" w:color="auto"/>
              <w:right w:val="single" w:sz="4" w:space="0" w:color="auto"/>
            </w:tcBorders>
            <w:shd w:val="clear" w:color="auto" w:fill="auto"/>
            <w:noWrap/>
            <w:hideMark/>
          </w:tcPr>
          <w:p w:rsidR="00534F9E" w:rsidRPr="00283A39" w:rsidRDefault="00534F9E" w:rsidP="00F47CDB">
            <w:pPr>
              <w:jc w:val="right"/>
              <w:rPr>
                <w:sz w:val="10"/>
                <w:szCs w:val="10"/>
                <w:lang w:eastAsia="en-GB"/>
              </w:rPr>
            </w:pPr>
            <w:r w:rsidRPr="00283A39">
              <w:rPr>
                <w:sz w:val="10"/>
                <w:szCs w:val="10"/>
                <w:lang w:eastAsia="en-GB"/>
              </w:rPr>
              <w:t>721</w:t>
            </w:r>
          </w:p>
        </w:tc>
        <w:tc>
          <w:tcPr>
            <w:tcW w:w="1129" w:type="dxa"/>
            <w:tcBorders>
              <w:top w:val="nil"/>
              <w:left w:val="nil"/>
              <w:bottom w:val="single" w:sz="4" w:space="0" w:color="auto"/>
              <w:right w:val="single" w:sz="4" w:space="0" w:color="auto"/>
            </w:tcBorders>
            <w:shd w:val="clear" w:color="auto" w:fill="auto"/>
            <w:hideMark/>
          </w:tcPr>
          <w:p w:rsidR="00534F9E" w:rsidRPr="00283A39" w:rsidRDefault="00534F9E" w:rsidP="00F47CDB">
            <w:pPr>
              <w:rPr>
                <w:sz w:val="10"/>
                <w:szCs w:val="10"/>
                <w:lang w:eastAsia="en-GB"/>
              </w:rPr>
            </w:pPr>
            <w:r w:rsidRPr="00283A39">
              <w:rPr>
                <w:sz w:val="10"/>
                <w:szCs w:val="10"/>
                <w:lang w:eastAsia="en-GB"/>
              </w:rPr>
              <w:t>prihodi od nefinansijskih JP i fin JI</w:t>
            </w:r>
          </w:p>
        </w:tc>
        <w:tc>
          <w:tcPr>
            <w:tcW w:w="873" w:type="dxa"/>
            <w:tcBorders>
              <w:top w:val="nil"/>
              <w:left w:val="nil"/>
              <w:bottom w:val="single" w:sz="4" w:space="0" w:color="auto"/>
              <w:right w:val="single" w:sz="4" w:space="0" w:color="auto"/>
            </w:tcBorders>
            <w:shd w:val="clear" w:color="000000" w:fill="FFFFFF"/>
            <w:hideMark/>
          </w:tcPr>
          <w:p w:rsidR="00534F9E" w:rsidRPr="00283A39" w:rsidRDefault="00534F9E" w:rsidP="00F47CDB">
            <w:pPr>
              <w:jc w:val="right"/>
              <w:rPr>
                <w:sz w:val="12"/>
                <w:szCs w:val="12"/>
                <w:lang w:eastAsia="en-GB"/>
              </w:rPr>
            </w:pPr>
            <w:r w:rsidRPr="00283A39">
              <w:rPr>
                <w:sz w:val="12"/>
                <w:szCs w:val="12"/>
                <w:lang w:eastAsia="en-GB"/>
              </w:rPr>
              <w:t>77.045</w:t>
            </w:r>
          </w:p>
        </w:tc>
        <w:tc>
          <w:tcPr>
            <w:tcW w:w="873" w:type="dxa"/>
            <w:tcBorders>
              <w:top w:val="nil"/>
              <w:left w:val="nil"/>
              <w:bottom w:val="single" w:sz="4" w:space="0" w:color="auto"/>
              <w:right w:val="single" w:sz="4" w:space="0" w:color="auto"/>
            </w:tcBorders>
            <w:shd w:val="clear" w:color="000000" w:fill="FFFFFF"/>
            <w:hideMark/>
          </w:tcPr>
          <w:p w:rsidR="00534F9E" w:rsidRPr="00283A39" w:rsidRDefault="00534F9E" w:rsidP="00F47CDB">
            <w:pPr>
              <w:jc w:val="right"/>
              <w:rPr>
                <w:sz w:val="12"/>
                <w:szCs w:val="12"/>
                <w:lang w:eastAsia="en-GB"/>
              </w:rPr>
            </w:pPr>
            <w:r w:rsidRPr="00283A39">
              <w:rPr>
                <w:sz w:val="12"/>
                <w:szCs w:val="12"/>
                <w:lang w:eastAsia="en-GB"/>
              </w:rPr>
              <w:t>1.100.000</w:t>
            </w:r>
          </w:p>
        </w:tc>
        <w:tc>
          <w:tcPr>
            <w:tcW w:w="873" w:type="dxa"/>
            <w:tcBorders>
              <w:top w:val="nil"/>
              <w:left w:val="nil"/>
              <w:bottom w:val="single" w:sz="4" w:space="0" w:color="auto"/>
              <w:right w:val="single" w:sz="4" w:space="0" w:color="auto"/>
            </w:tcBorders>
            <w:shd w:val="clear" w:color="000000" w:fill="FFFFFF"/>
            <w:hideMark/>
          </w:tcPr>
          <w:p w:rsidR="00534F9E" w:rsidRPr="00283A39" w:rsidRDefault="00534F9E" w:rsidP="00F47CDB">
            <w:pPr>
              <w:jc w:val="right"/>
              <w:rPr>
                <w:sz w:val="12"/>
                <w:szCs w:val="12"/>
                <w:lang w:eastAsia="en-GB"/>
              </w:rPr>
            </w:pPr>
            <w:r w:rsidRPr="00283A39">
              <w:rPr>
                <w:sz w:val="12"/>
                <w:szCs w:val="12"/>
                <w:lang w:eastAsia="en-GB"/>
              </w:rPr>
              <w:t>300.000</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1427,7</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300.000</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27,3</w:t>
            </w:r>
          </w:p>
        </w:tc>
        <w:tc>
          <w:tcPr>
            <w:tcW w:w="631"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0,18</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300.000</w:t>
            </w:r>
          </w:p>
        </w:tc>
        <w:tc>
          <w:tcPr>
            <w:tcW w:w="697"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100,00</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500.000</w:t>
            </w:r>
          </w:p>
        </w:tc>
        <w:tc>
          <w:tcPr>
            <w:tcW w:w="53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166,7</w:t>
            </w:r>
          </w:p>
        </w:tc>
      </w:tr>
      <w:tr w:rsidR="00534F9E" w:rsidRPr="00283A39" w:rsidTr="00F47CDB">
        <w:trPr>
          <w:trHeight w:val="330"/>
        </w:trPr>
        <w:tc>
          <w:tcPr>
            <w:tcW w:w="449" w:type="dxa"/>
            <w:tcBorders>
              <w:top w:val="nil"/>
              <w:left w:val="single" w:sz="4" w:space="0" w:color="auto"/>
              <w:bottom w:val="single" w:sz="4" w:space="0" w:color="auto"/>
              <w:right w:val="single" w:sz="4" w:space="0" w:color="auto"/>
            </w:tcBorders>
            <w:shd w:val="clear" w:color="auto" w:fill="auto"/>
            <w:noWrap/>
            <w:hideMark/>
          </w:tcPr>
          <w:p w:rsidR="00534F9E" w:rsidRPr="00283A39" w:rsidRDefault="00534F9E" w:rsidP="00F47CDB">
            <w:pPr>
              <w:jc w:val="right"/>
              <w:rPr>
                <w:sz w:val="10"/>
                <w:szCs w:val="10"/>
                <w:lang w:eastAsia="en-GB"/>
              </w:rPr>
            </w:pPr>
            <w:r w:rsidRPr="00283A39">
              <w:rPr>
                <w:sz w:val="10"/>
                <w:szCs w:val="10"/>
                <w:lang w:eastAsia="en-GB"/>
              </w:rPr>
              <w:t>722</w:t>
            </w:r>
          </w:p>
        </w:tc>
        <w:tc>
          <w:tcPr>
            <w:tcW w:w="1129"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rPr>
                <w:sz w:val="10"/>
                <w:szCs w:val="10"/>
                <w:lang w:eastAsia="en-GB"/>
              </w:rPr>
            </w:pPr>
            <w:r w:rsidRPr="00283A39">
              <w:rPr>
                <w:sz w:val="10"/>
                <w:szCs w:val="10"/>
                <w:lang w:eastAsia="en-GB"/>
              </w:rPr>
              <w:t>naknade,takse i javne usluge</w:t>
            </w:r>
          </w:p>
        </w:tc>
        <w:tc>
          <w:tcPr>
            <w:tcW w:w="873" w:type="dxa"/>
            <w:tcBorders>
              <w:top w:val="nil"/>
              <w:left w:val="nil"/>
              <w:bottom w:val="single" w:sz="4" w:space="0" w:color="auto"/>
              <w:right w:val="single" w:sz="4" w:space="0" w:color="auto"/>
            </w:tcBorders>
            <w:shd w:val="clear" w:color="000000" w:fill="FFFFFF"/>
            <w:hideMark/>
          </w:tcPr>
          <w:p w:rsidR="00534F9E" w:rsidRPr="00283A39" w:rsidRDefault="00534F9E" w:rsidP="00F47CDB">
            <w:pPr>
              <w:jc w:val="right"/>
              <w:rPr>
                <w:sz w:val="12"/>
                <w:szCs w:val="12"/>
                <w:lang w:eastAsia="en-GB"/>
              </w:rPr>
            </w:pPr>
            <w:r w:rsidRPr="00283A39">
              <w:rPr>
                <w:sz w:val="12"/>
                <w:szCs w:val="12"/>
                <w:lang w:eastAsia="en-GB"/>
              </w:rPr>
              <w:t>5.271.647</w:t>
            </w:r>
          </w:p>
        </w:tc>
        <w:tc>
          <w:tcPr>
            <w:tcW w:w="873" w:type="dxa"/>
            <w:tcBorders>
              <w:top w:val="nil"/>
              <w:left w:val="nil"/>
              <w:bottom w:val="single" w:sz="4" w:space="0" w:color="auto"/>
              <w:right w:val="single" w:sz="4" w:space="0" w:color="auto"/>
            </w:tcBorders>
            <w:shd w:val="clear" w:color="000000" w:fill="FFFFFF"/>
            <w:hideMark/>
          </w:tcPr>
          <w:p w:rsidR="00534F9E" w:rsidRPr="00283A39" w:rsidRDefault="00534F9E" w:rsidP="00F47CDB">
            <w:pPr>
              <w:jc w:val="right"/>
              <w:rPr>
                <w:sz w:val="12"/>
                <w:szCs w:val="12"/>
                <w:lang w:eastAsia="en-GB"/>
              </w:rPr>
            </w:pPr>
            <w:r w:rsidRPr="00283A39">
              <w:rPr>
                <w:sz w:val="12"/>
                <w:szCs w:val="12"/>
                <w:lang w:eastAsia="en-GB"/>
              </w:rPr>
              <w:t>7.620.000</w:t>
            </w:r>
          </w:p>
        </w:tc>
        <w:tc>
          <w:tcPr>
            <w:tcW w:w="873" w:type="dxa"/>
            <w:tcBorders>
              <w:top w:val="nil"/>
              <w:left w:val="nil"/>
              <w:bottom w:val="single" w:sz="4" w:space="0" w:color="auto"/>
              <w:right w:val="single" w:sz="4" w:space="0" w:color="auto"/>
            </w:tcBorders>
            <w:shd w:val="clear" w:color="000000" w:fill="FFFFFF"/>
            <w:hideMark/>
          </w:tcPr>
          <w:p w:rsidR="00534F9E" w:rsidRPr="00283A39" w:rsidRDefault="00534F9E" w:rsidP="00F47CDB">
            <w:pPr>
              <w:jc w:val="right"/>
              <w:rPr>
                <w:sz w:val="12"/>
                <w:szCs w:val="12"/>
                <w:lang w:eastAsia="en-GB"/>
              </w:rPr>
            </w:pPr>
            <w:r w:rsidRPr="00283A39">
              <w:rPr>
                <w:sz w:val="12"/>
                <w:szCs w:val="12"/>
                <w:lang w:eastAsia="en-GB"/>
              </w:rPr>
              <w:t>6.500.000</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144,5</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6.500.000</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85,3</w:t>
            </w:r>
          </w:p>
        </w:tc>
        <w:tc>
          <w:tcPr>
            <w:tcW w:w="631"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3,84</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6.600.000</w:t>
            </w:r>
          </w:p>
        </w:tc>
        <w:tc>
          <w:tcPr>
            <w:tcW w:w="697"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101,54</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7.500.000</w:t>
            </w:r>
          </w:p>
        </w:tc>
        <w:tc>
          <w:tcPr>
            <w:tcW w:w="53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113,6</w:t>
            </w:r>
          </w:p>
        </w:tc>
      </w:tr>
      <w:tr w:rsidR="00534F9E" w:rsidRPr="00283A39" w:rsidTr="00F47CDB">
        <w:trPr>
          <w:trHeight w:val="280"/>
        </w:trPr>
        <w:tc>
          <w:tcPr>
            <w:tcW w:w="449" w:type="dxa"/>
            <w:tcBorders>
              <w:top w:val="nil"/>
              <w:left w:val="single" w:sz="4" w:space="0" w:color="auto"/>
              <w:bottom w:val="single" w:sz="4" w:space="0" w:color="auto"/>
              <w:right w:val="single" w:sz="4" w:space="0" w:color="auto"/>
            </w:tcBorders>
            <w:shd w:val="clear" w:color="auto" w:fill="auto"/>
            <w:noWrap/>
            <w:hideMark/>
          </w:tcPr>
          <w:p w:rsidR="00534F9E" w:rsidRPr="00283A39" w:rsidRDefault="00534F9E" w:rsidP="00F47CDB">
            <w:pPr>
              <w:jc w:val="right"/>
              <w:rPr>
                <w:sz w:val="10"/>
                <w:szCs w:val="10"/>
                <w:lang w:eastAsia="en-GB"/>
              </w:rPr>
            </w:pPr>
            <w:r w:rsidRPr="00283A39">
              <w:rPr>
                <w:sz w:val="10"/>
                <w:szCs w:val="10"/>
                <w:lang w:eastAsia="en-GB"/>
              </w:rPr>
              <w:t>723</w:t>
            </w:r>
          </w:p>
        </w:tc>
        <w:tc>
          <w:tcPr>
            <w:tcW w:w="1129"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rPr>
                <w:sz w:val="10"/>
                <w:szCs w:val="10"/>
                <w:lang w:eastAsia="en-GB"/>
              </w:rPr>
            </w:pPr>
            <w:r w:rsidRPr="00283A39">
              <w:rPr>
                <w:sz w:val="10"/>
                <w:szCs w:val="10"/>
                <w:lang w:eastAsia="en-GB"/>
              </w:rPr>
              <w:t>novcane kazne</w:t>
            </w:r>
          </w:p>
        </w:tc>
        <w:tc>
          <w:tcPr>
            <w:tcW w:w="873" w:type="dxa"/>
            <w:tcBorders>
              <w:top w:val="nil"/>
              <w:left w:val="nil"/>
              <w:bottom w:val="single" w:sz="4" w:space="0" w:color="auto"/>
              <w:right w:val="single" w:sz="4" w:space="0" w:color="auto"/>
            </w:tcBorders>
            <w:shd w:val="clear" w:color="000000" w:fill="FFFFFF"/>
            <w:hideMark/>
          </w:tcPr>
          <w:p w:rsidR="00534F9E" w:rsidRPr="00283A39" w:rsidRDefault="00534F9E" w:rsidP="00F47CDB">
            <w:pPr>
              <w:jc w:val="right"/>
              <w:rPr>
                <w:sz w:val="12"/>
                <w:szCs w:val="12"/>
                <w:lang w:eastAsia="en-GB"/>
              </w:rPr>
            </w:pPr>
            <w:r w:rsidRPr="00283A39">
              <w:rPr>
                <w:sz w:val="12"/>
                <w:szCs w:val="12"/>
                <w:lang w:eastAsia="en-GB"/>
              </w:rPr>
              <w:t>4.287.359</w:t>
            </w:r>
          </w:p>
        </w:tc>
        <w:tc>
          <w:tcPr>
            <w:tcW w:w="873" w:type="dxa"/>
            <w:tcBorders>
              <w:top w:val="nil"/>
              <w:left w:val="nil"/>
              <w:bottom w:val="single" w:sz="4" w:space="0" w:color="auto"/>
              <w:right w:val="single" w:sz="4" w:space="0" w:color="auto"/>
            </w:tcBorders>
            <w:shd w:val="clear" w:color="000000" w:fill="FFFFFF"/>
            <w:hideMark/>
          </w:tcPr>
          <w:p w:rsidR="00534F9E" w:rsidRPr="00283A39" w:rsidRDefault="00534F9E" w:rsidP="00F47CDB">
            <w:pPr>
              <w:jc w:val="right"/>
              <w:rPr>
                <w:sz w:val="12"/>
                <w:szCs w:val="12"/>
                <w:lang w:eastAsia="en-GB"/>
              </w:rPr>
            </w:pPr>
            <w:r w:rsidRPr="00283A39">
              <w:rPr>
                <w:sz w:val="12"/>
                <w:szCs w:val="12"/>
                <w:lang w:eastAsia="en-GB"/>
              </w:rPr>
              <w:t>5.100.000</w:t>
            </w:r>
          </w:p>
        </w:tc>
        <w:tc>
          <w:tcPr>
            <w:tcW w:w="873" w:type="dxa"/>
            <w:tcBorders>
              <w:top w:val="nil"/>
              <w:left w:val="nil"/>
              <w:bottom w:val="single" w:sz="4" w:space="0" w:color="auto"/>
              <w:right w:val="single" w:sz="4" w:space="0" w:color="auto"/>
            </w:tcBorders>
            <w:shd w:val="clear" w:color="000000" w:fill="FFFFFF"/>
            <w:hideMark/>
          </w:tcPr>
          <w:p w:rsidR="00534F9E" w:rsidRPr="00283A39" w:rsidRDefault="00534F9E" w:rsidP="00F47CDB">
            <w:pPr>
              <w:jc w:val="right"/>
              <w:rPr>
                <w:sz w:val="12"/>
                <w:szCs w:val="12"/>
                <w:lang w:eastAsia="en-GB"/>
              </w:rPr>
            </w:pPr>
            <w:r w:rsidRPr="00283A39">
              <w:rPr>
                <w:sz w:val="12"/>
                <w:szCs w:val="12"/>
                <w:lang w:eastAsia="en-GB"/>
              </w:rPr>
              <w:t>4.000.000</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119,0</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4.000.000</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78,4</w:t>
            </w:r>
          </w:p>
        </w:tc>
        <w:tc>
          <w:tcPr>
            <w:tcW w:w="631"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2,36</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4.100.000</w:t>
            </w:r>
          </w:p>
        </w:tc>
        <w:tc>
          <w:tcPr>
            <w:tcW w:w="697"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102,50</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4.100.000</w:t>
            </w:r>
          </w:p>
        </w:tc>
        <w:tc>
          <w:tcPr>
            <w:tcW w:w="53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100,0</w:t>
            </w:r>
          </w:p>
        </w:tc>
      </w:tr>
      <w:tr w:rsidR="00534F9E" w:rsidRPr="00283A39" w:rsidTr="00F47CDB">
        <w:trPr>
          <w:trHeight w:val="280"/>
        </w:trPr>
        <w:tc>
          <w:tcPr>
            <w:tcW w:w="9923" w:type="dxa"/>
            <w:gridSpan w:val="13"/>
            <w:tcBorders>
              <w:top w:val="single" w:sz="4" w:space="0" w:color="auto"/>
              <w:left w:val="single" w:sz="4" w:space="0" w:color="auto"/>
              <w:bottom w:val="single" w:sz="4" w:space="0" w:color="auto"/>
              <w:right w:val="nil"/>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 </w:t>
            </w:r>
          </w:p>
        </w:tc>
      </w:tr>
      <w:tr w:rsidR="00534F9E" w:rsidRPr="00283A39" w:rsidTr="00F47CDB">
        <w:trPr>
          <w:trHeight w:val="280"/>
        </w:trPr>
        <w:tc>
          <w:tcPr>
            <w:tcW w:w="449" w:type="dxa"/>
            <w:tcBorders>
              <w:top w:val="nil"/>
              <w:left w:val="nil"/>
              <w:bottom w:val="nil"/>
              <w:right w:val="nil"/>
            </w:tcBorders>
            <w:shd w:val="clear" w:color="auto" w:fill="auto"/>
            <w:noWrap/>
            <w:hideMark/>
          </w:tcPr>
          <w:p w:rsidR="00534F9E" w:rsidRPr="00283A39" w:rsidRDefault="00534F9E" w:rsidP="00F47CDB">
            <w:pPr>
              <w:jc w:val="right"/>
              <w:rPr>
                <w:b/>
                <w:bCs/>
                <w:sz w:val="10"/>
                <w:szCs w:val="10"/>
                <w:lang w:eastAsia="en-GB"/>
              </w:rPr>
            </w:pPr>
            <w:r w:rsidRPr="00283A39">
              <w:rPr>
                <w:b/>
                <w:bCs/>
                <w:sz w:val="10"/>
                <w:szCs w:val="10"/>
                <w:lang w:eastAsia="en-GB"/>
              </w:rPr>
              <w:t>III</w:t>
            </w:r>
          </w:p>
        </w:tc>
        <w:tc>
          <w:tcPr>
            <w:tcW w:w="1129" w:type="dxa"/>
            <w:tcBorders>
              <w:top w:val="nil"/>
              <w:left w:val="single" w:sz="4" w:space="0" w:color="auto"/>
              <w:bottom w:val="single" w:sz="4" w:space="0" w:color="auto"/>
              <w:right w:val="single" w:sz="4" w:space="0" w:color="auto"/>
            </w:tcBorders>
            <w:shd w:val="clear" w:color="auto" w:fill="auto"/>
            <w:hideMark/>
          </w:tcPr>
          <w:p w:rsidR="00534F9E" w:rsidRPr="00283A39" w:rsidRDefault="00534F9E" w:rsidP="00F47CDB">
            <w:pPr>
              <w:rPr>
                <w:b/>
                <w:bCs/>
                <w:sz w:val="10"/>
                <w:szCs w:val="10"/>
                <w:lang w:eastAsia="en-GB"/>
              </w:rPr>
            </w:pPr>
            <w:r w:rsidRPr="00283A39">
              <w:rPr>
                <w:b/>
                <w:bCs/>
                <w:sz w:val="10"/>
                <w:szCs w:val="10"/>
                <w:lang w:eastAsia="en-GB"/>
              </w:rPr>
              <w:t>Tekuće i kapitalne potpore</w:t>
            </w:r>
          </w:p>
        </w:tc>
        <w:tc>
          <w:tcPr>
            <w:tcW w:w="873" w:type="dxa"/>
            <w:tcBorders>
              <w:top w:val="nil"/>
              <w:left w:val="nil"/>
              <w:bottom w:val="single" w:sz="4" w:space="0" w:color="auto"/>
              <w:right w:val="single" w:sz="4" w:space="0" w:color="auto"/>
            </w:tcBorders>
            <w:shd w:val="clear" w:color="000000" w:fill="FFFFFF"/>
            <w:noWrap/>
            <w:hideMark/>
          </w:tcPr>
          <w:p w:rsidR="00534F9E" w:rsidRPr="00283A39" w:rsidRDefault="00534F9E" w:rsidP="00F47CDB">
            <w:pPr>
              <w:jc w:val="right"/>
              <w:rPr>
                <w:b/>
                <w:bCs/>
                <w:sz w:val="12"/>
                <w:szCs w:val="12"/>
                <w:lang w:eastAsia="en-GB"/>
              </w:rPr>
            </w:pPr>
            <w:r w:rsidRPr="00283A39">
              <w:rPr>
                <w:b/>
                <w:bCs/>
                <w:sz w:val="12"/>
                <w:szCs w:val="12"/>
                <w:lang w:eastAsia="en-GB"/>
              </w:rPr>
              <w:t>2.000.000</w:t>
            </w:r>
          </w:p>
        </w:tc>
        <w:tc>
          <w:tcPr>
            <w:tcW w:w="873" w:type="dxa"/>
            <w:tcBorders>
              <w:top w:val="nil"/>
              <w:left w:val="nil"/>
              <w:bottom w:val="single" w:sz="4" w:space="0" w:color="auto"/>
              <w:right w:val="single" w:sz="4" w:space="0" w:color="auto"/>
            </w:tcBorders>
            <w:shd w:val="clear" w:color="000000" w:fill="FFFFFF"/>
            <w:noWrap/>
            <w:hideMark/>
          </w:tcPr>
          <w:p w:rsidR="00534F9E" w:rsidRPr="00283A39" w:rsidRDefault="00534F9E" w:rsidP="00F47CDB">
            <w:pPr>
              <w:jc w:val="right"/>
              <w:rPr>
                <w:b/>
                <w:bCs/>
                <w:sz w:val="12"/>
                <w:szCs w:val="12"/>
                <w:lang w:eastAsia="en-GB"/>
              </w:rPr>
            </w:pPr>
            <w:r w:rsidRPr="00283A39">
              <w:rPr>
                <w:b/>
                <w:bCs/>
                <w:sz w:val="12"/>
                <w:szCs w:val="12"/>
                <w:lang w:eastAsia="en-GB"/>
              </w:rPr>
              <w:t>4.000.000</w:t>
            </w:r>
          </w:p>
        </w:tc>
        <w:tc>
          <w:tcPr>
            <w:tcW w:w="873" w:type="dxa"/>
            <w:tcBorders>
              <w:top w:val="nil"/>
              <w:left w:val="nil"/>
              <w:bottom w:val="single" w:sz="4" w:space="0" w:color="auto"/>
              <w:right w:val="single" w:sz="4" w:space="0" w:color="auto"/>
            </w:tcBorders>
            <w:shd w:val="clear" w:color="000000" w:fill="FFFFFF"/>
            <w:noWrap/>
            <w:hideMark/>
          </w:tcPr>
          <w:p w:rsidR="00534F9E" w:rsidRPr="00283A39" w:rsidRDefault="00534F9E" w:rsidP="00F47CDB">
            <w:pPr>
              <w:jc w:val="right"/>
              <w:rPr>
                <w:b/>
                <w:bCs/>
                <w:sz w:val="12"/>
                <w:szCs w:val="12"/>
                <w:lang w:eastAsia="en-GB"/>
              </w:rPr>
            </w:pPr>
            <w:r w:rsidRPr="00283A39">
              <w:rPr>
                <w:b/>
                <w:bCs/>
                <w:sz w:val="12"/>
                <w:szCs w:val="12"/>
                <w:lang w:eastAsia="en-GB"/>
              </w:rPr>
              <w:t>24.600.000</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200,0</w:t>
            </w:r>
          </w:p>
        </w:tc>
        <w:tc>
          <w:tcPr>
            <w:tcW w:w="873" w:type="dxa"/>
            <w:tcBorders>
              <w:top w:val="nil"/>
              <w:left w:val="nil"/>
              <w:bottom w:val="single" w:sz="4" w:space="0" w:color="auto"/>
              <w:right w:val="single" w:sz="4" w:space="0" w:color="auto"/>
            </w:tcBorders>
            <w:shd w:val="clear" w:color="000000" w:fill="FFFFFF"/>
            <w:noWrap/>
            <w:hideMark/>
          </w:tcPr>
          <w:p w:rsidR="00534F9E" w:rsidRPr="00283A39" w:rsidRDefault="00534F9E" w:rsidP="00F47CDB">
            <w:pPr>
              <w:jc w:val="right"/>
              <w:rPr>
                <w:b/>
                <w:bCs/>
                <w:sz w:val="12"/>
                <w:szCs w:val="12"/>
                <w:lang w:eastAsia="en-GB"/>
              </w:rPr>
            </w:pPr>
            <w:r w:rsidRPr="00283A39">
              <w:rPr>
                <w:b/>
                <w:bCs/>
                <w:sz w:val="12"/>
                <w:szCs w:val="12"/>
                <w:lang w:eastAsia="en-GB"/>
              </w:rPr>
              <w:t>4.000.000</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100,0</w:t>
            </w:r>
          </w:p>
        </w:tc>
        <w:tc>
          <w:tcPr>
            <w:tcW w:w="631"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2,36</w:t>
            </w:r>
          </w:p>
        </w:tc>
        <w:tc>
          <w:tcPr>
            <w:tcW w:w="873" w:type="dxa"/>
            <w:tcBorders>
              <w:top w:val="nil"/>
              <w:left w:val="nil"/>
              <w:bottom w:val="single" w:sz="4" w:space="0" w:color="auto"/>
              <w:right w:val="single" w:sz="4" w:space="0" w:color="auto"/>
            </w:tcBorders>
            <w:shd w:val="clear" w:color="000000" w:fill="FFFFFF"/>
            <w:noWrap/>
            <w:hideMark/>
          </w:tcPr>
          <w:p w:rsidR="00534F9E" w:rsidRPr="00283A39" w:rsidRDefault="00534F9E" w:rsidP="00F47CDB">
            <w:pPr>
              <w:jc w:val="right"/>
              <w:rPr>
                <w:b/>
                <w:bCs/>
                <w:sz w:val="12"/>
                <w:szCs w:val="12"/>
                <w:lang w:eastAsia="en-GB"/>
              </w:rPr>
            </w:pPr>
            <w:r w:rsidRPr="00283A39">
              <w:rPr>
                <w:b/>
                <w:bCs/>
                <w:sz w:val="12"/>
                <w:szCs w:val="12"/>
                <w:lang w:eastAsia="en-GB"/>
              </w:rPr>
              <w:t>3.000.000</w:t>
            </w:r>
          </w:p>
        </w:tc>
        <w:tc>
          <w:tcPr>
            <w:tcW w:w="697"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75,00</w:t>
            </w:r>
          </w:p>
        </w:tc>
        <w:tc>
          <w:tcPr>
            <w:tcW w:w="873" w:type="dxa"/>
            <w:tcBorders>
              <w:top w:val="nil"/>
              <w:left w:val="nil"/>
              <w:bottom w:val="single" w:sz="4" w:space="0" w:color="auto"/>
              <w:right w:val="single" w:sz="4" w:space="0" w:color="auto"/>
            </w:tcBorders>
            <w:shd w:val="clear" w:color="000000" w:fill="FFFFFF"/>
            <w:noWrap/>
            <w:hideMark/>
          </w:tcPr>
          <w:p w:rsidR="00534F9E" w:rsidRPr="00283A39" w:rsidRDefault="00534F9E" w:rsidP="00F47CDB">
            <w:pPr>
              <w:jc w:val="right"/>
              <w:rPr>
                <w:b/>
                <w:bCs/>
                <w:sz w:val="12"/>
                <w:szCs w:val="12"/>
                <w:lang w:eastAsia="en-GB"/>
              </w:rPr>
            </w:pPr>
            <w:r w:rsidRPr="00283A39">
              <w:rPr>
                <w:b/>
                <w:bCs/>
                <w:sz w:val="12"/>
                <w:szCs w:val="12"/>
                <w:lang w:eastAsia="en-GB"/>
              </w:rPr>
              <w:t>3.000.000</w:t>
            </w:r>
          </w:p>
        </w:tc>
        <w:tc>
          <w:tcPr>
            <w:tcW w:w="53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100,0</w:t>
            </w:r>
          </w:p>
        </w:tc>
      </w:tr>
      <w:tr w:rsidR="00534F9E" w:rsidRPr="00283A39" w:rsidTr="00F47CDB">
        <w:trPr>
          <w:trHeight w:val="330"/>
        </w:trPr>
        <w:tc>
          <w:tcPr>
            <w:tcW w:w="449" w:type="dxa"/>
            <w:tcBorders>
              <w:top w:val="single" w:sz="4" w:space="0" w:color="auto"/>
              <w:left w:val="single" w:sz="4" w:space="0" w:color="auto"/>
              <w:bottom w:val="single" w:sz="4" w:space="0" w:color="auto"/>
              <w:right w:val="single" w:sz="4" w:space="0" w:color="auto"/>
            </w:tcBorders>
            <w:shd w:val="clear" w:color="auto" w:fill="auto"/>
            <w:hideMark/>
          </w:tcPr>
          <w:p w:rsidR="00534F9E" w:rsidRPr="00283A39" w:rsidRDefault="00534F9E" w:rsidP="00F47CDB">
            <w:pPr>
              <w:jc w:val="right"/>
              <w:rPr>
                <w:sz w:val="10"/>
                <w:szCs w:val="10"/>
                <w:lang w:eastAsia="en-GB"/>
              </w:rPr>
            </w:pPr>
            <w:r w:rsidRPr="00283A39">
              <w:rPr>
                <w:sz w:val="10"/>
                <w:szCs w:val="10"/>
                <w:lang w:eastAsia="en-GB"/>
              </w:rPr>
              <w:lastRenderedPageBreak/>
              <w:t>730/ 740</w:t>
            </w:r>
          </w:p>
        </w:tc>
        <w:tc>
          <w:tcPr>
            <w:tcW w:w="1129"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rPr>
                <w:sz w:val="10"/>
                <w:szCs w:val="10"/>
                <w:lang w:eastAsia="en-GB"/>
              </w:rPr>
            </w:pPr>
            <w:r w:rsidRPr="00283A39">
              <w:rPr>
                <w:sz w:val="10"/>
                <w:szCs w:val="10"/>
                <w:lang w:eastAsia="en-GB"/>
              </w:rPr>
              <w:t>tekuće potore i donacije</w:t>
            </w:r>
          </w:p>
        </w:tc>
        <w:tc>
          <w:tcPr>
            <w:tcW w:w="873" w:type="dxa"/>
            <w:tcBorders>
              <w:top w:val="nil"/>
              <w:left w:val="nil"/>
              <w:bottom w:val="single" w:sz="4" w:space="0" w:color="auto"/>
              <w:right w:val="single" w:sz="4" w:space="0" w:color="auto"/>
            </w:tcBorders>
            <w:shd w:val="clear" w:color="000000" w:fill="FFFFFF"/>
            <w:noWrap/>
            <w:hideMark/>
          </w:tcPr>
          <w:p w:rsidR="00534F9E" w:rsidRPr="00283A39" w:rsidRDefault="00534F9E" w:rsidP="00F47CDB">
            <w:pPr>
              <w:jc w:val="right"/>
              <w:rPr>
                <w:sz w:val="12"/>
                <w:szCs w:val="12"/>
                <w:lang w:eastAsia="en-GB"/>
              </w:rPr>
            </w:pPr>
            <w:r w:rsidRPr="00283A39">
              <w:rPr>
                <w:sz w:val="12"/>
                <w:szCs w:val="12"/>
                <w:lang w:eastAsia="en-GB"/>
              </w:rPr>
              <w:t>2.000.000</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4.000.000</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24.600.000</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200,0</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4.000.000</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100,0</w:t>
            </w:r>
          </w:p>
        </w:tc>
        <w:tc>
          <w:tcPr>
            <w:tcW w:w="631"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2,36</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3.000.000</w:t>
            </w:r>
          </w:p>
        </w:tc>
        <w:tc>
          <w:tcPr>
            <w:tcW w:w="697"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75,00</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3.000.000</w:t>
            </w:r>
          </w:p>
        </w:tc>
        <w:tc>
          <w:tcPr>
            <w:tcW w:w="53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100,0</w:t>
            </w:r>
          </w:p>
        </w:tc>
      </w:tr>
      <w:tr w:rsidR="00534F9E" w:rsidRPr="00283A39" w:rsidTr="00F47CDB">
        <w:trPr>
          <w:trHeight w:val="280"/>
        </w:trPr>
        <w:tc>
          <w:tcPr>
            <w:tcW w:w="9923" w:type="dxa"/>
            <w:gridSpan w:val="13"/>
            <w:tcBorders>
              <w:top w:val="single" w:sz="4" w:space="0" w:color="auto"/>
              <w:left w:val="nil"/>
              <w:bottom w:val="nil"/>
              <w:right w:val="nil"/>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 </w:t>
            </w:r>
          </w:p>
        </w:tc>
      </w:tr>
      <w:tr w:rsidR="00534F9E" w:rsidRPr="00283A39" w:rsidTr="00F47CDB">
        <w:trPr>
          <w:trHeight w:val="280"/>
        </w:trPr>
        <w:tc>
          <w:tcPr>
            <w:tcW w:w="449" w:type="dxa"/>
            <w:tcBorders>
              <w:top w:val="single" w:sz="4" w:space="0" w:color="auto"/>
              <w:left w:val="single" w:sz="4" w:space="0" w:color="auto"/>
              <w:bottom w:val="single" w:sz="4" w:space="0" w:color="auto"/>
              <w:right w:val="single" w:sz="4" w:space="0" w:color="auto"/>
            </w:tcBorders>
            <w:shd w:val="clear" w:color="000000" w:fill="F2F2F2"/>
            <w:noWrap/>
            <w:hideMark/>
          </w:tcPr>
          <w:p w:rsidR="00534F9E" w:rsidRPr="00283A39" w:rsidRDefault="00534F9E" w:rsidP="00F47CDB">
            <w:pPr>
              <w:jc w:val="right"/>
              <w:rPr>
                <w:b/>
                <w:bCs/>
                <w:sz w:val="10"/>
                <w:szCs w:val="10"/>
                <w:lang w:eastAsia="en-GB"/>
              </w:rPr>
            </w:pPr>
            <w:r w:rsidRPr="00283A39">
              <w:rPr>
                <w:b/>
                <w:bCs/>
                <w:sz w:val="10"/>
                <w:szCs w:val="10"/>
                <w:lang w:eastAsia="en-GB"/>
              </w:rPr>
              <w:t>B</w:t>
            </w:r>
          </w:p>
        </w:tc>
        <w:tc>
          <w:tcPr>
            <w:tcW w:w="1129" w:type="dxa"/>
            <w:tcBorders>
              <w:top w:val="single" w:sz="4" w:space="0" w:color="auto"/>
              <w:left w:val="nil"/>
              <w:bottom w:val="single" w:sz="4" w:space="0" w:color="auto"/>
              <w:right w:val="single" w:sz="4" w:space="0" w:color="auto"/>
            </w:tcBorders>
            <w:shd w:val="clear" w:color="000000" w:fill="F2F2F2"/>
            <w:noWrap/>
            <w:hideMark/>
          </w:tcPr>
          <w:p w:rsidR="00534F9E" w:rsidRPr="00283A39" w:rsidRDefault="00534F9E" w:rsidP="00F47CDB">
            <w:pPr>
              <w:rPr>
                <w:b/>
                <w:bCs/>
                <w:sz w:val="10"/>
                <w:szCs w:val="10"/>
                <w:lang w:eastAsia="en-GB"/>
              </w:rPr>
            </w:pPr>
            <w:r w:rsidRPr="00283A39">
              <w:rPr>
                <w:b/>
                <w:bCs/>
                <w:sz w:val="10"/>
                <w:szCs w:val="10"/>
                <w:lang w:eastAsia="en-GB"/>
              </w:rPr>
              <w:t xml:space="preserve">Kapitalni primici </w:t>
            </w:r>
          </w:p>
        </w:tc>
        <w:tc>
          <w:tcPr>
            <w:tcW w:w="873" w:type="dxa"/>
            <w:tcBorders>
              <w:top w:val="single" w:sz="4" w:space="0" w:color="auto"/>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2.049</w:t>
            </w:r>
          </w:p>
        </w:tc>
        <w:tc>
          <w:tcPr>
            <w:tcW w:w="873" w:type="dxa"/>
            <w:tcBorders>
              <w:top w:val="single" w:sz="4" w:space="0" w:color="auto"/>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100.000</w:t>
            </w:r>
          </w:p>
        </w:tc>
        <w:tc>
          <w:tcPr>
            <w:tcW w:w="873" w:type="dxa"/>
            <w:tcBorders>
              <w:top w:val="single" w:sz="4" w:space="0" w:color="auto"/>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100.000</w:t>
            </w:r>
          </w:p>
        </w:tc>
        <w:tc>
          <w:tcPr>
            <w:tcW w:w="623" w:type="dxa"/>
            <w:tcBorders>
              <w:top w:val="single" w:sz="4" w:space="0" w:color="auto"/>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4880,4</w:t>
            </w:r>
          </w:p>
        </w:tc>
        <w:tc>
          <w:tcPr>
            <w:tcW w:w="873" w:type="dxa"/>
            <w:tcBorders>
              <w:top w:val="single" w:sz="4" w:space="0" w:color="auto"/>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100.000</w:t>
            </w:r>
          </w:p>
        </w:tc>
        <w:tc>
          <w:tcPr>
            <w:tcW w:w="623" w:type="dxa"/>
            <w:tcBorders>
              <w:top w:val="single" w:sz="4" w:space="0" w:color="auto"/>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100,0</w:t>
            </w:r>
          </w:p>
        </w:tc>
        <w:tc>
          <w:tcPr>
            <w:tcW w:w="631" w:type="dxa"/>
            <w:tcBorders>
              <w:top w:val="single" w:sz="4" w:space="0" w:color="auto"/>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0,06</w:t>
            </w:r>
          </w:p>
        </w:tc>
        <w:tc>
          <w:tcPr>
            <w:tcW w:w="873" w:type="dxa"/>
            <w:tcBorders>
              <w:top w:val="single" w:sz="4" w:space="0" w:color="auto"/>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100.000</w:t>
            </w:r>
          </w:p>
        </w:tc>
        <w:tc>
          <w:tcPr>
            <w:tcW w:w="697" w:type="dxa"/>
            <w:tcBorders>
              <w:top w:val="single" w:sz="4" w:space="0" w:color="auto"/>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100,00</w:t>
            </w:r>
          </w:p>
        </w:tc>
        <w:tc>
          <w:tcPr>
            <w:tcW w:w="873" w:type="dxa"/>
            <w:tcBorders>
              <w:top w:val="single" w:sz="4" w:space="0" w:color="auto"/>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100.000</w:t>
            </w:r>
          </w:p>
        </w:tc>
        <w:tc>
          <w:tcPr>
            <w:tcW w:w="533" w:type="dxa"/>
            <w:tcBorders>
              <w:top w:val="single" w:sz="4" w:space="0" w:color="auto"/>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100,0</w:t>
            </w:r>
          </w:p>
        </w:tc>
      </w:tr>
      <w:tr w:rsidR="00534F9E" w:rsidRPr="00283A39" w:rsidTr="00F47CDB">
        <w:trPr>
          <w:trHeight w:val="408"/>
        </w:trPr>
        <w:tc>
          <w:tcPr>
            <w:tcW w:w="449" w:type="dxa"/>
            <w:tcBorders>
              <w:top w:val="nil"/>
              <w:left w:val="single" w:sz="4" w:space="0" w:color="auto"/>
              <w:bottom w:val="single" w:sz="4" w:space="0" w:color="auto"/>
              <w:right w:val="single" w:sz="4" w:space="0" w:color="auto"/>
            </w:tcBorders>
            <w:shd w:val="clear" w:color="auto" w:fill="auto"/>
            <w:noWrap/>
            <w:hideMark/>
          </w:tcPr>
          <w:p w:rsidR="00534F9E" w:rsidRPr="00283A39" w:rsidRDefault="00534F9E" w:rsidP="00F47CDB">
            <w:pPr>
              <w:jc w:val="right"/>
              <w:rPr>
                <w:sz w:val="10"/>
                <w:szCs w:val="10"/>
                <w:lang w:eastAsia="en-GB"/>
              </w:rPr>
            </w:pPr>
            <w:r w:rsidRPr="00283A39">
              <w:rPr>
                <w:sz w:val="10"/>
                <w:szCs w:val="10"/>
                <w:lang w:eastAsia="en-GB"/>
              </w:rPr>
              <w:t>811</w:t>
            </w:r>
          </w:p>
        </w:tc>
        <w:tc>
          <w:tcPr>
            <w:tcW w:w="1129" w:type="dxa"/>
            <w:tcBorders>
              <w:top w:val="nil"/>
              <w:left w:val="nil"/>
              <w:bottom w:val="single" w:sz="4" w:space="0" w:color="auto"/>
              <w:right w:val="single" w:sz="4" w:space="0" w:color="auto"/>
            </w:tcBorders>
            <w:shd w:val="clear" w:color="000000" w:fill="FFFFFF"/>
            <w:hideMark/>
          </w:tcPr>
          <w:p w:rsidR="00534F9E" w:rsidRPr="00283A39" w:rsidRDefault="00534F9E" w:rsidP="00F47CDB">
            <w:pPr>
              <w:rPr>
                <w:rFonts w:ascii="Arial Narrow" w:hAnsi="Arial Narrow" w:cs="Calibri"/>
                <w:b/>
                <w:bCs/>
                <w:i/>
                <w:iCs/>
                <w:sz w:val="10"/>
                <w:szCs w:val="10"/>
                <w:lang w:eastAsia="en-GB"/>
              </w:rPr>
            </w:pPr>
            <w:r w:rsidRPr="00283A39">
              <w:rPr>
                <w:rFonts w:ascii="Arial Narrow" w:hAnsi="Arial Narrow" w:cs="Calibri"/>
                <w:b/>
                <w:bCs/>
                <w:i/>
                <w:iCs/>
                <w:sz w:val="10"/>
                <w:szCs w:val="10"/>
                <w:lang w:eastAsia="en-GB"/>
              </w:rPr>
              <w:t xml:space="preserve"> Primici od prodaje stalnih sredstava</w:t>
            </w:r>
          </w:p>
        </w:tc>
        <w:tc>
          <w:tcPr>
            <w:tcW w:w="873" w:type="dxa"/>
            <w:tcBorders>
              <w:top w:val="nil"/>
              <w:left w:val="nil"/>
              <w:bottom w:val="single" w:sz="4" w:space="0" w:color="auto"/>
              <w:right w:val="single" w:sz="4" w:space="0" w:color="auto"/>
            </w:tcBorders>
            <w:shd w:val="clear" w:color="000000" w:fill="FFFFFF"/>
            <w:noWrap/>
            <w:hideMark/>
          </w:tcPr>
          <w:p w:rsidR="00534F9E" w:rsidRPr="00283A39" w:rsidRDefault="00534F9E" w:rsidP="00F47CDB">
            <w:pPr>
              <w:jc w:val="right"/>
              <w:rPr>
                <w:sz w:val="12"/>
                <w:szCs w:val="12"/>
                <w:lang w:eastAsia="en-GB"/>
              </w:rPr>
            </w:pPr>
            <w:r w:rsidRPr="00283A39">
              <w:rPr>
                <w:sz w:val="12"/>
                <w:szCs w:val="12"/>
                <w:lang w:eastAsia="en-GB"/>
              </w:rPr>
              <w:t>2.049</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100.000</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100.000</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4880,4</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100.000</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100,0</w:t>
            </w:r>
          </w:p>
        </w:tc>
        <w:tc>
          <w:tcPr>
            <w:tcW w:w="631"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0,06</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100.000</w:t>
            </w:r>
          </w:p>
        </w:tc>
        <w:tc>
          <w:tcPr>
            <w:tcW w:w="697"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b/>
                <w:bCs/>
                <w:sz w:val="12"/>
                <w:szCs w:val="12"/>
                <w:lang w:eastAsia="en-GB"/>
              </w:rPr>
            </w:pPr>
            <w:r w:rsidRPr="00283A39">
              <w:rPr>
                <w:b/>
                <w:bCs/>
                <w:sz w:val="12"/>
                <w:szCs w:val="12"/>
                <w:lang w:eastAsia="en-GB"/>
              </w:rPr>
              <w:t>100,00</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100.000</w:t>
            </w:r>
          </w:p>
        </w:tc>
        <w:tc>
          <w:tcPr>
            <w:tcW w:w="53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100,0</w:t>
            </w:r>
          </w:p>
        </w:tc>
      </w:tr>
      <w:tr w:rsidR="00534F9E" w:rsidRPr="00283A39" w:rsidTr="00F47CDB">
        <w:trPr>
          <w:trHeight w:val="280"/>
        </w:trPr>
        <w:tc>
          <w:tcPr>
            <w:tcW w:w="9923" w:type="dxa"/>
            <w:gridSpan w:val="13"/>
            <w:tcBorders>
              <w:top w:val="single" w:sz="4" w:space="0" w:color="auto"/>
              <w:left w:val="single" w:sz="4" w:space="0" w:color="auto"/>
              <w:bottom w:val="single" w:sz="4" w:space="0" w:color="auto"/>
              <w:right w:val="nil"/>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 </w:t>
            </w:r>
          </w:p>
        </w:tc>
      </w:tr>
      <w:tr w:rsidR="00534F9E" w:rsidRPr="00283A39" w:rsidTr="00F47CDB">
        <w:trPr>
          <w:trHeight w:val="280"/>
        </w:trPr>
        <w:tc>
          <w:tcPr>
            <w:tcW w:w="449" w:type="dxa"/>
            <w:tcBorders>
              <w:top w:val="nil"/>
              <w:left w:val="single" w:sz="4" w:space="0" w:color="auto"/>
              <w:bottom w:val="single" w:sz="4" w:space="0" w:color="auto"/>
              <w:right w:val="single" w:sz="4" w:space="0" w:color="auto"/>
            </w:tcBorders>
            <w:shd w:val="clear" w:color="000000" w:fill="F2F2F2"/>
            <w:noWrap/>
            <w:vAlign w:val="center"/>
            <w:hideMark/>
          </w:tcPr>
          <w:p w:rsidR="00534F9E" w:rsidRPr="00283A39" w:rsidRDefault="00534F9E" w:rsidP="00F47CDB">
            <w:pPr>
              <w:jc w:val="right"/>
              <w:rPr>
                <w:b/>
                <w:bCs/>
                <w:sz w:val="10"/>
                <w:szCs w:val="10"/>
                <w:lang w:eastAsia="en-GB"/>
              </w:rPr>
            </w:pPr>
            <w:r w:rsidRPr="00283A39">
              <w:rPr>
                <w:b/>
                <w:bCs/>
                <w:sz w:val="10"/>
                <w:szCs w:val="10"/>
                <w:lang w:eastAsia="en-GB"/>
              </w:rPr>
              <w:t>C</w:t>
            </w:r>
          </w:p>
        </w:tc>
        <w:tc>
          <w:tcPr>
            <w:tcW w:w="1129" w:type="dxa"/>
            <w:tcBorders>
              <w:top w:val="nil"/>
              <w:left w:val="nil"/>
              <w:bottom w:val="single" w:sz="4" w:space="0" w:color="auto"/>
              <w:right w:val="single" w:sz="4" w:space="0" w:color="auto"/>
            </w:tcBorders>
            <w:shd w:val="clear" w:color="000000" w:fill="F2F2F2"/>
            <w:noWrap/>
            <w:vAlign w:val="center"/>
            <w:hideMark/>
          </w:tcPr>
          <w:p w:rsidR="00534F9E" w:rsidRPr="00283A39" w:rsidRDefault="00534F9E" w:rsidP="00F47CDB">
            <w:pPr>
              <w:rPr>
                <w:b/>
                <w:bCs/>
                <w:sz w:val="10"/>
                <w:szCs w:val="10"/>
                <w:lang w:eastAsia="en-GB"/>
              </w:rPr>
            </w:pPr>
            <w:r w:rsidRPr="00283A39">
              <w:rPr>
                <w:b/>
                <w:bCs/>
                <w:sz w:val="10"/>
                <w:szCs w:val="10"/>
                <w:lang w:eastAsia="en-GB"/>
              </w:rPr>
              <w:t>Račun finansiranja</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129.800</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13.920.737</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13.920.737</w:t>
            </w:r>
          </w:p>
        </w:tc>
        <w:tc>
          <w:tcPr>
            <w:tcW w:w="62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 </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200.000</w:t>
            </w:r>
          </w:p>
        </w:tc>
        <w:tc>
          <w:tcPr>
            <w:tcW w:w="62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1,44</w:t>
            </w:r>
          </w:p>
        </w:tc>
        <w:tc>
          <w:tcPr>
            <w:tcW w:w="631"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0,12</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100.000</w:t>
            </w:r>
          </w:p>
        </w:tc>
        <w:tc>
          <w:tcPr>
            <w:tcW w:w="697"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50,00</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100.000</w:t>
            </w:r>
          </w:p>
        </w:tc>
        <w:tc>
          <w:tcPr>
            <w:tcW w:w="53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100,0</w:t>
            </w:r>
          </w:p>
        </w:tc>
      </w:tr>
      <w:tr w:rsidR="00534F9E" w:rsidRPr="00283A39" w:rsidTr="00F47CDB">
        <w:trPr>
          <w:trHeight w:val="280"/>
        </w:trPr>
        <w:tc>
          <w:tcPr>
            <w:tcW w:w="449" w:type="dxa"/>
            <w:tcBorders>
              <w:top w:val="nil"/>
              <w:left w:val="single" w:sz="4" w:space="0" w:color="auto"/>
              <w:bottom w:val="single" w:sz="4" w:space="0" w:color="auto"/>
              <w:right w:val="single" w:sz="4" w:space="0" w:color="auto"/>
            </w:tcBorders>
            <w:shd w:val="clear" w:color="auto" w:fill="auto"/>
            <w:noWrap/>
            <w:hideMark/>
          </w:tcPr>
          <w:p w:rsidR="00534F9E" w:rsidRPr="00283A39" w:rsidRDefault="00534F9E" w:rsidP="00F47CDB">
            <w:pPr>
              <w:jc w:val="right"/>
              <w:rPr>
                <w:sz w:val="10"/>
                <w:szCs w:val="10"/>
                <w:lang w:eastAsia="en-GB"/>
              </w:rPr>
            </w:pPr>
            <w:r w:rsidRPr="00283A39">
              <w:rPr>
                <w:sz w:val="10"/>
                <w:szCs w:val="10"/>
                <w:lang w:eastAsia="en-GB"/>
              </w:rPr>
              <w:t>813</w:t>
            </w:r>
          </w:p>
        </w:tc>
        <w:tc>
          <w:tcPr>
            <w:tcW w:w="1129"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rPr>
                <w:sz w:val="10"/>
                <w:szCs w:val="10"/>
                <w:lang w:eastAsia="en-GB"/>
              </w:rPr>
            </w:pPr>
            <w:r w:rsidRPr="00283A39">
              <w:rPr>
                <w:sz w:val="10"/>
                <w:szCs w:val="10"/>
                <w:lang w:eastAsia="en-GB"/>
              </w:rPr>
              <w:t>Primici od primljenih otplata</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129.800</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300.000</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300.000</w:t>
            </w:r>
          </w:p>
        </w:tc>
        <w:tc>
          <w:tcPr>
            <w:tcW w:w="62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231,1</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200.000</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66,67</w:t>
            </w:r>
          </w:p>
        </w:tc>
        <w:tc>
          <w:tcPr>
            <w:tcW w:w="631"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0,12</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100.000</w:t>
            </w:r>
          </w:p>
        </w:tc>
        <w:tc>
          <w:tcPr>
            <w:tcW w:w="697"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50,00</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100.000</w:t>
            </w:r>
          </w:p>
        </w:tc>
        <w:tc>
          <w:tcPr>
            <w:tcW w:w="53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100,0</w:t>
            </w:r>
          </w:p>
        </w:tc>
      </w:tr>
      <w:tr w:rsidR="00534F9E" w:rsidRPr="00283A39" w:rsidTr="00F47CDB">
        <w:trPr>
          <w:trHeight w:val="280"/>
        </w:trPr>
        <w:tc>
          <w:tcPr>
            <w:tcW w:w="449" w:type="dxa"/>
            <w:tcBorders>
              <w:top w:val="nil"/>
              <w:left w:val="single" w:sz="4" w:space="0" w:color="auto"/>
              <w:bottom w:val="single" w:sz="4" w:space="0" w:color="auto"/>
              <w:right w:val="single" w:sz="4" w:space="0" w:color="auto"/>
            </w:tcBorders>
            <w:shd w:val="clear" w:color="auto" w:fill="auto"/>
            <w:noWrap/>
            <w:hideMark/>
          </w:tcPr>
          <w:p w:rsidR="00534F9E" w:rsidRPr="00283A39" w:rsidRDefault="00534F9E" w:rsidP="00F47CDB">
            <w:pPr>
              <w:jc w:val="right"/>
              <w:rPr>
                <w:sz w:val="10"/>
                <w:szCs w:val="10"/>
                <w:lang w:eastAsia="en-GB"/>
              </w:rPr>
            </w:pPr>
            <w:r w:rsidRPr="00283A39">
              <w:rPr>
                <w:sz w:val="10"/>
                <w:szCs w:val="10"/>
                <w:lang w:eastAsia="en-GB"/>
              </w:rPr>
              <w:t>814</w:t>
            </w:r>
          </w:p>
        </w:tc>
        <w:tc>
          <w:tcPr>
            <w:tcW w:w="1129"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rPr>
                <w:sz w:val="10"/>
                <w:szCs w:val="10"/>
                <w:lang w:eastAsia="en-GB"/>
              </w:rPr>
            </w:pPr>
            <w:r w:rsidRPr="00283A39">
              <w:rPr>
                <w:sz w:val="10"/>
                <w:szCs w:val="10"/>
                <w:lang w:eastAsia="en-GB"/>
              </w:rPr>
              <w:t>Primici od zaduživanja</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0</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13.620.737</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p>
        </w:tc>
        <w:tc>
          <w:tcPr>
            <w:tcW w:w="62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 </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 </w:t>
            </w:r>
          </w:p>
        </w:tc>
        <w:tc>
          <w:tcPr>
            <w:tcW w:w="62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0,00</w:t>
            </w:r>
          </w:p>
        </w:tc>
        <w:tc>
          <w:tcPr>
            <w:tcW w:w="631"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0,00</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 </w:t>
            </w:r>
          </w:p>
        </w:tc>
        <w:tc>
          <w:tcPr>
            <w:tcW w:w="697"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 </w:t>
            </w:r>
          </w:p>
        </w:tc>
        <w:tc>
          <w:tcPr>
            <w:tcW w:w="873" w:type="dxa"/>
            <w:tcBorders>
              <w:top w:val="nil"/>
              <w:left w:val="nil"/>
              <w:bottom w:val="single" w:sz="4" w:space="0" w:color="auto"/>
              <w:right w:val="single" w:sz="4" w:space="0" w:color="auto"/>
            </w:tcBorders>
            <w:shd w:val="clear" w:color="auto" w:fill="auto"/>
            <w:noWrap/>
            <w:hideMark/>
          </w:tcPr>
          <w:p w:rsidR="00534F9E" w:rsidRPr="00283A39" w:rsidRDefault="00534F9E" w:rsidP="00F47CDB">
            <w:pPr>
              <w:jc w:val="right"/>
              <w:rPr>
                <w:sz w:val="12"/>
                <w:szCs w:val="12"/>
                <w:lang w:eastAsia="en-GB"/>
              </w:rPr>
            </w:pPr>
            <w:r w:rsidRPr="00283A39">
              <w:rPr>
                <w:sz w:val="12"/>
                <w:szCs w:val="12"/>
                <w:lang w:eastAsia="en-GB"/>
              </w:rPr>
              <w:t> </w:t>
            </w:r>
          </w:p>
        </w:tc>
        <w:tc>
          <w:tcPr>
            <w:tcW w:w="53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 </w:t>
            </w:r>
          </w:p>
        </w:tc>
      </w:tr>
      <w:tr w:rsidR="00534F9E" w:rsidRPr="00283A39" w:rsidTr="00F47CDB">
        <w:trPr>
          <w:trHeight w:val="280"/>
        </w:trPr>
        <w:tc>
          <w:tcPr>
            <w:tcW w:w="449" w:type="dxa"/>
            <w:tcBorders>
              <w:top w:val="nil"/>
              <w:left w:val="single" w:sz="4" w:space="0" w:color="auto"/>
              <w:bottom w:val="single" w:sz="4" w:space="0" w:color="auto"/>
              <w:right w:val="single" w:sz="4" w:space="0" w:color="auto"/>
            </w:tcBorders>
            <w:shd w:val="clear" w:color="000000" w:fill="F2F2F2"/>
            <w:noWrap/>
            <w:hideMark/>
          </w:tcPr>
          <w:p w:rsidR="00534F9E" w:rsidRPr="00283A39" w:rsidRDefault="00534F9E" w:rsidP="00F47CDB">
            <w:pPr>
              <w:jc w:val="right"/>
              <w:rPr>
                <w:b/>
                <w:bCs/>
                <w:sz w:val="10"/>
                <w:szCs w:val="10"/>
                <w:lang w:eastAsia="en-GB"/>
              </w:rPr>
            </w:pPr>
            <w:r w:rsidRPr="00283A39">
              <w:rPr>
                <w:b/>
                <w:bCs/>
                <w:sz w:val="10"/>
                <w:szCs w:val="10"/>
                <w:lang w:eastAsia="en-GB"/>
              </w:rPr>
              <w:t>D</w:t>
            </w:r>
          </w:p>
        </w:tc>
        <w:tc>
          <w:tcPr>
            <w:tcW w:w="1129"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0"/>
                <w:szCs w:val="10"/>
                <w:lang w:eastAsia="en-GB"/>
              </w:rPr>
            </w:pPr>
            <w:r w:rsidRPr="00283A39">
              <w:rPr>
                <w:b/>
                <w:bCs/>
                <w:sz w:val="10"/>
                <w:szCs w:val="10"/>
                <w:lang w:eastAsia="en-GB"/>
              </w:rPr>
              <w:t>Ukupno ( A+B+C)</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17331C">
              <w:rPr>
                <w:b/>
                <w:bCs/>
                <w:sz w:val="12"/>
                <w:szCs w:val="12"/>
                <w:lang w:eastAsia="en-GB"/>
              </w:rPr>
              <w:t>198.136.042</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216.528.949</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4A2F55">
              <w:rPr>
                <w:b/>
                <w:bCs/>
                <w:sz w:val="12"/>
                <w:szCs w:val="12"/>
                <w:lang w:eastAsia="en-GB"/>
              </w:rPr>
              <w:t>183.763.752</w:t>
            </w:r>
          </w:p>
        </w:tc>
        <w:tc>
          <w:tcPr>
            <w:tcW w:w="62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109,3</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169.255.281</w:t>
            </w:r>
          </w:p>
        </w:tc>
        <w:tc>
          <w:tcPr>
            <w:tcW w:w="62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78,17</w:t>
            </w:r>
          </w:p>
        </w:tc>
        <w:tc>
          <w:tcPr>
            <w:tcW w:w="631"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Pr>
                <w:b/>
                <w:bCs/>
                <w:sz w:val="12"/>
                <w:szCs w:val="12"/>
                <w:lang w:eastAsia="en-GB"/>
              </w:rPr>
              <w:t>100</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17331C">
              <w:rPr>
                <w:b/>
                <w:bCs/>
                <w:sz w:val="12"/>
                <w:szCs w:val="12"/>
                <w:lang w:eastAsia="en-GB"/>
              </w:rPr>
              <w:t>176.830.445</w:t>
            </w:r>
          </w:p>
        </w:tc>
        <w:tc>
          <w:tcPr>
            <w:tcW w:w="697"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17331C">
              <w:rPr>
                <w:b/>
                <w:bCs/>
                <w:sz w:val="12"/>
                <w:szCs w:val="12"/>
                <w:lang w:eastAsia="en-GB"/>
              </w:rPr>
              <w:t>104,48</w:t>
            </w:r>
          </w:p>
        </w:tc>
        <w:tc>
          <w:tcPr>
            <w:tcW w:w="87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17331C">
              <w:rPr>
                <w:b/>
                <w:bCs/>
                <w:sz w:val="12"/>
                <w:szCs w:val="12"/>
                <w:lang w:eastAsia="en-GB"/>
              </w:rPr>
              <w:t>180.289.695</w:t>
            </w:r>
          </w:p>
        </w:tc>
        <w:tc>
          <w:tcPr>
            <w:tcW w:w="533" w:type="dxa"/>
            <w:tcBorders>
              <w:top w:val="nil"/>
              <w:left w:val="nil"/>
              <w:bottom w:val="single" w:sz="4" w:space="0" w:color="auto"/>
              <w:right w:val="single" w:sz="4" w:space="0" w:color="auto"/>
            </w:tcBorders>
            <w:shd w:val="clear" w:color="000000" w:fill="F2F2F2"/>
            <w:noWrap/>
            <w:hideMark/>
          </w:tcPr>
          <w:p w:rsidR="00534F9E" w:rsidRPr="00283A39" w:rsidRDefault="00534F9E" w:rsidP="00F47CDB">
            <w:pPr>
              <w:jc w:val="right"/>
              <w:rPr>
                <w:b/>
                <w:bCs/>
                <w:sz w:val="12"/>
                <w:szCs w:val="12"/>
                <w:lang w:eastAsia="en-GB"/>
              </w:rPr>
            </w:pPr>
            <w:r w:rsidRPr="00283A39">
              <w:rPr>
                <w:b/>
                <w:bCs/>
                <w:sz w:val="12"/>
                <w:szCs w:val="12"/>
                <w:lang w:eastAsia="en-GB"/>
              </w:rPr>
              <w:t>102,0</w:t>
            </w:r>
          </w:p>
        </w:tc>
      </w:tr>
    </w:tbl>
    <w:p w:rsidR="00534F9E" w:rsidRDefault="00534F9E" w:rsidP="00534F9E">
      <w:pPr>
        <w:pStyle w:val="ListParagraph"/>
        <w:ind w:left="0"/>
        <w:jc w:val="both"/>
        <w:rPr>
          <w:rFonts w:ascii="Times New Roman" w:hAnsi="Times New Roman"/>
          <w:sz w:val="24"/>
          <w:szCs w:val="24"/>
        </w:rPr>
      </w:pPr>
    </w:p>
    <w:p w:rsidR="00534F9E" w:rsidRDefault="00534F9E" w:rsidP="00534F9E">
      <w:pPr>
        <w:pStyle w:val="ListParagraph"/>
        <w:ind w:left="0"/>
        <w:jc w:val="both"/>
        <w:rPr>
          <w:rFonts w:ascii="Times New Roman" w:hAnsi="Times New Roman"/>
          <w:i/>
          <w:sz w:val="24"/>
          <w:szCs w:val="24"/>
        </w:rPr>
      </w:pPr>
      <w:r w:rsidRPr="00A52016">
        <w:rPr>
          <w:rFonts w:ascii="Times New Roman" w:hAnsi="Times New Roman"/>
          <w:sz w:val="24"/>
          <w:szCs w:val="24"/>
        </w:rPr>
        <w:t>Ukupni prihodi</w:t>
      </w:r>
      <w:r>
        <w:rPr>
          <w:rFonts w:ascii="Times New Roman" w:hAnsi="Times New Roman"/>
          <w:sz w:val="24"/>
          <w:szCs w:val="24"/>
        </w:rPr>
        <w:t xml:space="preserve"> ( izvor 10 - budžetska sredstva bez vlastitih i namjenskih sredstava)</w:t>
      </w:r>
      <w:r w:rsidRPr="00A52016">
        <w:rPr>
          <w:rFonts w:ascii="Times New Roman" w:hAnsi="Times New Roman"/>
          <w:sz w:val="24"/>
          <w:szCs w:val="24"/>
        </w:rPr>
        <w:t xml:space="preserve"> na</w:t>
      </w:r>
      <w:r>
        <w:rPr>
          <w:rFonts w:ascii="Times New Roman" w:hAnsi="Times New Roman"/>
          <w:sz w:val="24"/>
          <w:szCs w:val="24"/>
        </w:rPr>
        <w:t xml:space="preserve"> koje Kanton zbog novonastale situacije može računati</w:t>
      </w:r>
      <w:r w:rsidRPr="00A52016">
        <w:rPr>
          <w:rFonts w:ascii="Times New Roman" w:hAnsi="Times New Roman"/>
          <w:sz w:val="24"/>
          <w:szCs w:val="24"/>
        </w:rPr>
        <w:t xml:space="preserve"> u 2020. godini </w:t>
      </w:r>
      <w:r w:rsidRPr="00A52016">
        <w:rPr>
          <w:rFonts w:ascii="Times New Roman" w:hAnsi="Times New Roman"/>
          <w:i/>
          <w:sz w:val="24"/>
          <w:szCs w:val="24"/>
        </w:rPr>
        <w:t xml:space="preserve">iznose </w:t>
      </w:r>
      <w:r>
        <w:rPr>
          <w:rFonts w:ascii="Times New Roman" w:hAnsi="Times New Roman"/>
          <w:i/>
          <w:sz w:val="24"/>
          <w:szCs w:val="24"/>
        </w:rPr>
        <w:t>183,76</w:t>
      </w:r>
      <w:r w:rsidRPr="00A52016">
        <w:rPr>
          <w:rFonts w:ascii="Times New Roman" w:hAnsi="Times New Roman"/>
          <w:i/>
          <w:sz w:val="24"/>
          <w:szCs w:val="24"/>
        </w:rPr>
        <w:t xml:space="preserve"> mil. KM</w:t>
      </w:r>
      <w:r>
        <w:rPr>
          <w:rFonts w:ascii="Times New Roman" w:hAnsi="Times New Roman"/>
          <w:i/>
          <w:sz w:val="24"/>
          <w:szCs w:val="24"/>
        </w:rPr>
        <w:t>, bez</w:t>
      </w:r>
      <w:r w:rsidRPr="00A52016">
        <w:rPr>
          <w:rFonts w:ascii="Times New Roman" w:hAnsi="Times New Roman"/>
          <w:i/>
          <w:sz w:val="24"/>
          <w:szCs w:val="24"/>
        </w:rPr>
        <w:t xml:space="preserve"> </w:t>
      </w:r>
      <w:r>
        <w:rPr>
          <w:rFonts w:ascii="Times New Roman" w:hAnsi="Times New Roman"/>
          <w:i/>
          <w:sz w:val="24"/>
          <w:szCs w:val="24"/>
        </w:rPr>
        <w:t xml:space="preserve">zaduživanja, </w:t>
      </w:r>
      <w:r w:rsidRPr="00A52016">
        <w:rPr>
          <w:rFonts w:ascii="Times New Roman" w:hAnsi="Times New Roman"/>
          <w:i/>
          <w:sz w:val="24"/>
          <w:szCs w:val="24"/>
        </w:rPr>
        <w:t xml:space="preserve">što je u odnosu  na </w:t>
      </w:r>
      <w:r>
        <w:rPr>
          <w:rFonts w:ascii="Times New Roman" w:hAnsi="Times New Roman"/>
          <w:i/>
          <w:sz w:val="24"/>
          <w:szCs w:val="24"/>
        </w:rPr>
        <w:t xml:space="preserve">plan </w:t>
      </w:r>
      <w:r w:rsidRPr="00A52016">
        <w:rPr>
          <w:rFonts w:ascii="Times New Roman" w:hAnsi="Times New Roman"/>
          <w:i/>
          <w:sz w:val="24"/>
          <w:szCs w:val="24"/>
        </w:rPr>
        <w:t>Budžet</w:t>
      </w:r>
      <w:r>
        <w:rPr>
          <w:rFonts w:ascii="Times New Roman" w:hAnsi="Times New Roman"/>
          <w:i/>
          <w:sz w:val="24"/>
          <w:szCs w:val="24"/>
        </w:rPr>
        <w:t>a</w:t>
      </w:r>
      <w:r w:rsidRPr="00A52016">
        <w:rPr>
          <w:rFonts w:ascii="Times New Roman" w:hAnsi="Times New Roman"/>
          <w:i/>
          <w:sz w:val="24"/>
          <w:szCs w:val="24"/>
        </w:rPr>
        <w:t xml:space="preserve"> 20</w:t>
      </w:r>
      <w:r>
        <w:rPr>
          <w:rFonts w:ascii="Times New Roman" w:hAnsi="Times New Roman"/>
          <w:i/>
          <w:sz w:val="24"/>
          <w:szCs w:val="24"/>
        </w:rPr>
        <w:t>20</w:t>
      </w:r>
      <w:r w:rsidRPr="00A52016">
        <w:rPr>
          <w:rFonts w:ascii="Times New Roman" w:hAnsi="Times New Roman"/>
          <w:i/>
          <w:sz w:val="24"/>
          <w:szCs w:val="24"/>
        </w:rPr>
        <w:t xml:space="preserve">. godine </w:t>
      </w:r>
      <w:r>
        <w:rPr>
          <w:rFonts w:ascii="Times New Roman" w:hAnsi="Times New Roman"/>
          <w:i/>
          <w:sz w:val="24"/>
          <w:szCs w:val="24"/>
        </w:rPr>
        <w:t xml:space="preserve">manje </w:t>
      </w:r>
      <w:r w:rsidRPr="00A52016">
        <w:rPr>
          <w:rFonts w:ascii="Times New Roman" w:hAnsi="Times New Roman"/>
          <w:i/>
          <w:sz w:val="24"/>
          <w:szCs w:val="24"/>
        </w:rPr>
        <w:t xml:space="preserve">za </w:t>
      </w:r>
      <w:r>
        <w:rPr>
          <w:rFonts w:ascii="Times New Roman" w:hAnsi="Times New Roman"/>
          <w:i/>
          <w:sz w:val="24"/>
          <w:szCs w:val="24"/>
        </w:rPr>
        <w:t>15,1</w:t>
      </w:r>
      <w:r w:rsidRPr="00A52016">
        <w:rPr>
          <w:rFonts w:ascii="Times New Roman" w:hAnsi="Times New Roman"/>
          <w:i/>
          <w:sz w:val="24"/>
          <w:szCs w:val="24"/>
        </w:rPr>
        <w:t xml:space="preserve"> % ili u apsolutnom iznosu za </w:t>
      </w:r>
      <w:r>
        <w:rPr>
          <w:rFonts w:ascii="Times New Roman" w:hAnsi="Times New Roman"/>
          <w:i/>
          <w:sz w:val="24"/>
          <w:szCs w:val="24"/>
        </w:rPr>
        <w:t>32,77</w:t>
      </w:r>
      <w:r w:rsidRPr="00A52016">
        <w:rPr>
          <w:rFonts w:ascii="Times New Roman" w:hAnsi="Times New Roman"/>
          <w:i/>
          <w:sz w:val="24"/>
          <w:szCs w:val="24"/>
        </w:rPr>
        <w:t xml:space="preserve"> mil</w:t>
      </w:r>
      <w:r>
        <w:rPr>
          <w:rFonts w:ascii="Times New Roman" w:hAnsi="Times New Roman"/>
          <w:i/>
          <w:sz w:val="24"/>
          <w:szCs w:val="24"/>
        </w:rPr>
        <w:t>.</w:t>
      </w:r>
      <w:r w:rsidRPr="00A52016">
        <w:rPr>
          <w:rFonts w:ascii="Times New Roman" w:hAnsi="Times New Roman"/>
          <w:i/>
          <w:sz w:val="24"/>
          <w:szCs w:val="24"/>
        </w:rPr>
        <w:t xml:space="preserve"> KM</w:t>
      </w:r>
      <w:r>
        <w:rPr>
          <w:rFonts w:ascii="Times New Roman" w:hAnsi="Times New Roman"/>
          <w:i/>
          <w:sz w:val="24"/>
          <w:szCs w:val="24"/>
        </w:rPr>
        <w:t>, što stvara slabu baznu osnovu za poređenje u narednom periodu. U revidiranoj projekciji prihoda za 2020. godinu planirane su tekuće potpore od višeg nivoa vlasti u iznosu od 24,6 mil KM, kolike su bile procjene da bi naš Kanton mogao dobiti od Federacije BiH od sredstava MMF-a, kao pomoć za prevazilaženje novonastale situacije. Bez ovih sredstava kanton u tekućoj godini neće biti u mogućnosti servisirati svoje zakonom predviđene obaveze i Rebalans budžeta za 2020.godinu koji se priprema bez značajnih ušteda po svim rashodima i izdacima neće biti moguće usvojiti.</w:t>
      </w:r>
    </w:p>
    <w:p w:rsidR="00534F9E" w:rsidRDefault="00534F9E" w:rsidP="00534F9E">
      <w:pPr>
        <w:pStyle w:val="ListParagraph"/>
        <w:ind w:left="0"/>
        <w:jc w:val="both"/>
        <w:rPr>
          <w:rFonts w:ascii="Times New Roman" w:hAnsi="Times New Roman"/>
          <w:sz w:val="24"/>
          <w:szCs w:val="24"/>
        </w:rPr>
      </w:pPr>
    </w:p>
    <w:p w:rsidR="00534F9E" w:rsidRDefault="00534F9E" w:rsidP="00534F9E">
      <w:pPr>
        <w:pStyle w:val="ListParagraph"/>
        <w:ind w:left="0"/>
        <w:jc w:val="both"/>
        <w:rPr>
          <w:rFonts w:ascii="Times New Roman" w:hAnsi="Times New Roman"/>
          <w:sz w:val="24"/>
        </w:rPr>
      </w:pPr>
      <w:r w:rsidRPr="00A52016">
        <w:rPr>
          <w:rFonts w:ascii="Times New Roman" w:hAnsi="Times New Roman"/>
          <w:sz w:val="24"/>
        </w:rPr>
        <w:t xml:space="preserve">Ukoliko ne dođe do značajnih poremećaja u ekonomskom razvoju odnosno ostalih makroekonomskih parametara u narednom periodu  očekuje se da bi kanton  mogao raspolagati sa </w:t>
      </w:r>
      <w:r>
        <w:rPr>
          <w:rFonts w:ascii="Times New Roman" w:hAnsi="Times New Roman"/>
          <w:sz w:val="24"/>
        </w:rPr>
        <w:t>169,26</w:t>
      </w:r>
      <w:r w:rsidRPr="00A52016">
        <w:rPr>
          <w:rFonts w:ascii="Times New Roman" w:hAnsi="Times New Roman"/>
          <w:sz w:val="24"/>
        </w:rPr>
        <w:t xml:space="preserve"> mil. KM  u 202</w:t>
      </w:r>
      <w:r>
        <w:rPr>
          <w:rFonts w:ascii="Times New Roman" w:hAnsi="Times New Roman"/>
          <w:sz w:val="24"/>
        </w:rPr>
        <w:t>1</w:t>
      </w:r>
      <w:r w:rsidRPr="00A52016">
        <w:rPr>
          <w:rFonts w:ascii="Times New Roman" w:hAnsi="Times New Roman"/>
          <w:sz w:val="24"/>
        </w:rPr>
        <w:t xml:space="preserve">. godini, </w:t>
      </w:r>
      <w:r>
        <w:rPr>
          <w:rFonts w:ascii="Times New Roman" w:hAnsi="Times New Roman"/>
          <w:sz w:val="24"/>
        </w:rPr>
        <w:t>što je za 21,83% manje sredstava od plana budžeta u 2020. godini.</w:t>
      </w:r>
    </w:p>
    <w:p w:rsidR="00534F9E" w:rsidRPr="00DC06D7" w:rsidRDefault="00534F9E" w:rsidP="00534F9E">
      <w:pPr>
        <w:pStyle w:val="ListParagraph"/>
        <w:ind w:left="0"/>
        <w:jc w:val="both"/>
        <w:rPr>
          <w:rFonts w:ascii="Times New Roman" w:hAnsi="Times New Roman"/>
          <w:sz w:val="24"/>
        </w:rPr>
      </w:pPr>
      <w:r>
        <w:rPr>
          <w:rFonts w:ascii="Times New Roman" w:hAnsi="Times New Roman"/>
          <w:sz w:val="24"/>
        </w:rPr>
        <w:t xml:space="preserve">U </w:t>
      </w:r>
      <w:r w:rsidRPr="00A52016">
        <w:rPr>
          <w:rFonts w:ascii="Times New Roman" w:hAnsi="Times New Roman"/>
          <w:sz w:val="24"/>
        </w:rPr>
        <w:t>202</w:t>
      </w:r>
      <w:r>
        <w:rPr>
          <w:rFonts w:ascii="Times New Roman" w:hAnsi="Times New Roman"/>
          <w:sz w:val="24"/>
        </w:rPr>
        <w:t>2</w:t>
      </w:r>
      <w:r w:rsidRPr="00A52016">
        <w:rPr>
          <w:rFonts w:ascii="Times New Roman" w:hAnsi="Times New Roman"/>
          <w:sz w:val="24"/>
        </w:rPr>
        <w:t>. godini</w:t>
      </w:r>
      <w:r>
        <w:rPr>
          <w:rFonts w:ascii="Times New Roman" w:hAnsi="Times New Roman"/>
          <w:sz w:val="24"/>
        </w:rPr>
        <w:t xml:space="preserve"> očekuje se</w:t>
      </w:r>
      <w:r w:rsidRPr="00A52016">
        <w:rPr>
          <w:rFonts w:ascii="Times New Roman" w:hAnsi="Times New Roman"/>
          <w:sz w:val="24"/>
        </w:rPr>
        <w:t xml:space="preserve"> </w:t>
      </w:r>
      <w:r>
        <w:rPr>
          <w:rFonts w:ascii="Times New Roman" w:hAnsi="Times New Roman"/>
          <w:sz w:val="24"/>
        </w:rPr>
        <w:t>176,83</w:t>
      </w:r>
      <w:r w:rsidRPr="00A52016">
        <w:rPr>
          <w:rFonts w:ascii="Times New Roman" w:hAnsi="Times New Roman"/>
          <w:sz w:val="24"/>
        </w:rPr>
        <w:t xml:space="preserve"> mil.KM i </w:t>
      </w:r>
      <w:r>
        <w:rPr>
          <w:rFonts w:ascii="Times New Roman" w:hAnsi="Times New Roman"/>
          <w:sz w:val="24"/>
        </w:rPr>
        <w:t>180,29</w:t>
      </w:r>
      <w:r w:rsidRPr="00A52016">
        <w:rPr>
          <w:rFonts w:ascii="Times New Roman" w:hAnsi="Times New Roman"/>
          <w:sz w:val="24"/>
        </w:rPr>
        <w:t xml:space="preserve"> mil. KM u 202</w:t>
      </w:r>
      <w:r>
        <w:rPr>
          <w:rFonts w:ascii="Times New Roman" w:hAnsi="Times New Roman"/>
          <w:sz w:val="24"/>
        </w:rPr>
        <w:t>3</w:t>
      </w:r>
      <w:r w:rsidRPr="00A52016">
        <w:rPr>
          <w:rFonts w:ascii="Times New Roman" w:hAnsi="Times New Roman"/>
          <w:sz w:val="24"/>
        </w:rPr>
        <w:t>. godini</w:t>
      </w:r>
      <w:r>
        <w:rPr>
          <w:rFonts w:ascii="Times New Roman" w:hAnsi="Times New Roman"/>
          <w:sz w:val="24"/>
        </w:rPr>
        <w:t>, što predstavlja blago povećanje zbog slabe bazne osnove u 2020. i 2021. godini ali koje još nije dovoljno da nadomjesti prihode ostvarene u toku 2019. godine koji su iznosili 198,14 mil.KM.</w:t>
      </w:r>
    </w:p>
    <w:p w:rsidR="00534F9E" w:rsidRDefault="00534F9E" w:rsidP="00534F9E">
      <w:pPr>
        <w:jc w:val="both"/>
        <w:rPr>
          <w:b/>
          <w:i/>
          <w:sz w:val="24"/>
        </w:rPr>
      </w:pPr>
      <w:r w:rsidRPr="00014F8F">
        <w:rPr>
          <w:b/>
          <w:i/>
          <w:sz w:val="24"/>
        </w:rPr>
        <w:t xml:space="preserve">Zbog toga posebnu pažnju pri planiranju </w:t>
      </w:r>
      <w:r>
        <w:rPr>
          <w:b/>
          <w:i/>
          <w:sz w:val="24"/>
        </w:rPr>
        <w:t xml:space="preserve">Rebalansa </w:t>
      </w:r>
      <w:r w:rsidRPr="00014F8F">
        <w:rPr>
          <w:b/>
          <w:i/>
          <w:sz w:val="24"/>
        </w:rPr>
        <w:t>budžeta za 20</w:t>
      </w:r>
      <w:r>
        <w:rPr>
          <w:b/>
          <w:i/>
          <w:sz w:val="24"/>
        </w:rPr>
        <w:t>20</w:t>
      </w:r>
      <w:r w:rsidRPr="00014F8F">
        <w:rPr>
          <w:b/>
          <w:i/>
          <w:sz w:val="24"/>
        </w:rPr>
        <w:t xml:space="preserve">. godinu </w:t>
      </w:r>
      <w:r>
        <w:rPr>
          <w:b/>
          <w:i/>
          <w:sz w:val="24"/>
        </w:rPr>
        <w:t xml:space="preserve">kao i budžeta za 2021. godinu </w:t>
      </w:r>
      <w:r w:rsidRPr="00014F8F">
        <w:rPr>
          <w:b/>
          <w:i/>
          <w:sz w:val="24"/>
        </w:rPr>
        <w:t>treb</w:t>
      </w:r>
      <w:r>
        <w:rPr>
          <w:b/>
          <w:i/>
          <w:sz w:val="24"/>
        </w:rPr>
        <w:t>a obratiti na rashodovnu stranu</w:t>
      </w:r>
      <w:r w:rsidRPr="00014F8F">
        <w:rPr>
          <w:b/>
          <w:i/>
          <w:sz w:val="24"/>
        </w:rPr>
        <w:t xml:space="preserve"> koja je u principu uvijek veća</w:t>
      </w:r>
      <w:r>
        <w:rPr>
          <w:b/>
          <w:i/>
          <w:sz w:val="24"/>
        </w:rPr>
        <w:t xml:space="preserve"> od prihodovne strane</w:t>
      </w:r>
      <w:r w:rsidRPr="00014F8F">
        <w:rPr>
          <w:b/>
          <w:i/>
          <w:sz w:val="24"/>
        </w:rPr>
        <w:t>, jer su obaveze utvrđene zakonima daleko veće o</w:t>
      </w:r>
      <w:r>
        <w:rPr>
          <w:b/>
          <w:i/>
          <w:sz w:val="24"/>
        </w:rPr>
        <w:t>d</w:t>
      </w:r>
      <w:r w:rsidRPr="00014F8F">
        <w:rPr>
          <w:b/>
          <w:i/>
          <w:sz w:val="24"/>
        </w:rPr>
        <w:t xml:space="preserve"> realnih mogućnosti kantona.</w:t>
      </w:r>
    </w:p>
    <w:p w:rsidR="00E6492A" w:rsidRDefault="00E6492A" w:rsidP="00534F9E">
      <w:pPr>
        <w:ind w:firstLine="708"/>
        <w:jc w:val="both"/>
        <w:rPr>
          <w:sz w:val="24"/>
          <w:szCs w:val="24"/>
        </w:rPr>
      </w:pPr>
    </w:p>
    <w:p w:rsidR="00534F9E" w:rsidRDefault="00534F9E" w:rsidP="00534F9E">
      <w:pPr>
        <w:ind w:firstLine="708"/>
        <w:jc w:val="both"/>
        <w:rPr>
          <w:i/>
          <w:sz w:val="24"/>
          <w:szCs w:val="24"/>
        </w:rPr>
      </w:pPr>
      <w:r w:rsidRPr="0065778F">
        <w:rPr>
          <w:sz w:val="24"/>
          <w:szCs w:val="24"/>
        </w:rPr>
        <w:t xml:space="preserve">Nadalje, nije realno očekivati da će se kanton moći do kraja godine dodatno zadužiti za </w:t>
      </w:r>
      <w:r w:rsidRPr="00534F9E">
        <w:rPr>
          <w:color w:val="000000"/>
          <w:sz w:val="24"/>
          <w:szCs w:val="24"/>
        </w:rPr>
        <w:t>13,92 mil.</w:t>
      </w:r>
      <w:r w:rsidRPr="0065778F">
        <w:rPr>
          <w:color w:val="FF0000"/>
          <w:sz w:val="24"/>
          <w:szCs w:val="24"/>
        </w:rPr>
        <w:t xml:space="preserve"> </w:t>
      </w:r>
      <w:r w:rsidRPr="0065778F">
        <w:rPr>
          <w:sz w:val="24"/>
          <w:szCs w:val="24"/>
        </w:rPr>
        <w:t xml:space="preserve">KM, koliko nedostaje sredstava u odnosu na planirane rashode, </w:t>
      </w:r>
      <w:r w:rsidRPr="0065778F">
        <w:rPr>
          <w:i/>
          <w:sz w:val="24"/>
          <w:szCs w:val="24"/>
        </w:rPr>
        <w:t>te će to biti još jedan izazov koji Vlada treba da razriješi i ozbiljno se pozabavi reformama svih sektora u cilju smanjenja javne potrošnje</w:t>
      </w:r>
      <w:r>
        <w:rPr>
          <w:i/>
          <w:sz w:val="24"/>
          <w:szCs w:val="24"/>
        </w:rPr>
        <w:t xml:space="preserve">. </w:t>
      </w:r>
      <w:r w:rsidRPr="0065778F">
        <w:rPr>
          <w:i/>
          <w:sz w:val="24"/>
          <w:szCs w:val="24"/>
        </w:rPr>
        <w:t>Naime, svi dosadašnji budžeti, tj rashodovne strane budžeta, daleko premašuju realni okvir raspoloživih sredstava, što dovodi Ministarstvo finansija u nez</w:t>
      </w:r>
      <w:r>
        <w:rPr>
          <w:i/>
          <w:sz w:val="24"/>
          <w:szCs w:val="24"/>
        </w:rPr>
        <w:t xml:space="preserve">avidnu </w:t>
      </w:r>
      <w:r w:rsidRPr="0065778F">
        <w:rPr>
          <w:i/>
          <w:sz w:val="24"/>
          <w:szCs w:val="24"/>
        </w:rPr>
        <w:t>situaciju da udovolji zahtjevima ali i zakonskoj potrebi planiranja budžeta u okviru realnih prihoda za dati period.</w:t>
      </w:r>
      <w:r>
        <w:rPr>
          <w:i/>
          <w:sz w:val="24"/>
          <w:szCs w:val="24"/>
        </w:rPr>
        <w:t xml:space="preserve"> </w:t>
      </w:r>
      <w:r w:rsidRPr="0065778F">
        <w:rPr>
          <w:i/>
          <w:sz w:val="24"/>
          <w:szCs w:val="24"/>
        </w:rPr>
        <w:t>To je dovelo do akumuliranja nepokrivenog deficita koji iz godine u godinu se povećava i sa 31.12.201</w:t>
      </w:r>
      <w:r>
        <w:rPr>
          <w:i/>
          <w:sz w:val="24"/>
          <w:szCs w:val="24"/>
        </w:rPr>
        <w:t>9</w:t>
      </w:r>
      <w:r w:rsidRPr="0065778F">
        <w:rPr>
          <w:i/>
          <w:sz w:val="24"/>
          <w:szCs w:val="24"/>
        </w:rPr>
        <w:t xml:space="preserve">. </w:t>
      </w:r>
      <w:r w:rsidRPr="008E54B6">
        <w:rPr>
          <w:i/>
          <w:sz w:val="24"/>
          <w:szCs w:val="24"/>
        </w:rPr>
        <w:t xml:space="preserve">iznosi 70,402 mil </w:t>
      </w:r>
      <w:r w:rsidRPr="0065778F">
        <w:rPr>
          <w:i/>
          <w:sz w:val="24"/>
          <w:szCs w:val="24"/>
        </w:rPr>
        <w:t xml:space="preserve">KM.  </w:t>
      </w:r>
      <w:bookmarkEnd w:id="71"/>
      <w:bookmarkEnd w:id="72"/>
      <w:bookmarkEnd w:id="73"/>
    </w:p>
    <w:p w:rsidR="00534F9E" w:rsidRDefault="00534F9E" w:rsidP="00534F9E">
      <w:pPr>
        <w:ind w:firstLine="708"/>
        <w:jc w:val="both"/>
        <w:rPr>
          <w:i/>
          <w:sz w:val="24"/>
          <w:szCs w:val="24"/>
        </w:rPr>
      </w:pPr>
    </w:p>
    <w:p w:rsidR="00534F9E" w:rsidRDefault="00534F9E" w:rsidP="00534F9E">
      <w:pPr>
        <w:ind w:firstLine="708"/>
        <w:jc w:val="both"/>
        <w:rPr>
          <w:i/>
          <w:sz w:val="24"/>
          <w:szCs w:val="24"/>
        </w:rPr>
      </w:pPr>
    </w:p>
    <w:p w:rsidR="00E6492A" w:rsidRDefault="00E6492A" w:rsidP="00534F9E">
      <w:pPr>
        <w:ind w:firstLine="708"/>
        <w:jc w:val="both"/>
        <w:rPr>
          <w:i/>
          <w:sz w:val="24"/>
          <w:szCs w:val="24"/>
        </w:rPr>
      </w:pPr>
    </w:p>
    <w:p w:rsidR="00ED5C99" w:rsidRDefault="00ED5C99" w:rsidP="00534F9E">
      <w:pPr>
        <w:ind w:firstLine="708"/>
        <w:jc w:val="both"/>
        <w:rPr>
          <w:i/>
          <w:sz w:val="24"/>
          <w:szCs w:val="24"/>
        </w:rPr>
      </w:pPr>
    </w:p>
    <w:p w:rsidR="00534F9E" w:rsidRDefault="00534F9E" w:rsidP="00534F9E">
      <w:pPr>
        <w:ind w:firstLine="708"/>
        <w:jc w:val="both"/>
        <w:rPr>
          <w:i/>
          <w:sz w:val="24"/>
          <w:szCs w:val="24"/>
        </w:rPr>
      </w:pPr>
    </w:p>
    <w:p w:rsidR="00534F9E" w:rsidRPr="00163BE8" w:rsidRDefault="00534F9E" w:rsidP="00534F9E">
      <w:pPr>
        <w:ind w:firstLine="708"/>
        <w:jc w:val="both"/>
        <w:rPr>
          <w:szCs w:val="24"/>
        </w:rPr>
      </w:pPr>
      <w:r w:rsidRPr="008E54B6">
        <w:rPr>
          <w:szCs w:val="24"/>
        </w:rPr>
        <w:t>Tabela : Pregled ostvarenih prihoda i rashoda u periodu od 2009.- do 2019.</w:t>
      </w:r>
    </w:p>
    <w:tbl>
      <w:tblPr>
        <w:tblW w:w="10656" w:type="dxa"/>
        <w:tblInd w:w="-619" w:type="dxa"/>
        <w:tblLayout w:type="fixed"/>
        <w:tblLook w:val="04A0"/>
      </w:tblPr>
      <w:tblGrid>
        <w:gridCol w:w="788"/>
        <w:gridCol w:w="817"/>
        <w:gridCol w:w="849"/>
        <w:gridCol w:w="991"/>
        <w:gridCol w:w="1003"/>
        <w:gridCol w:w="915"/>
        <w:gridCol w:w="915"/>
        <w:gridCol w:w="915"/>
        <w:gridCol w:w="915"/>
        <w:gridCol w:w="860"/>
        <w:gridCol w:w="849"/>
        <w:gridCol w:w="839"/>
      </w:tblGrid>
      <w:tr w:rsidR="00534F9E" w:rsidRPr="000448BC" w:rsidTr="00F47CDB">
        <w:trPr>
          <w:trHeight w:val="333"/>
        </w:trPr>
        <w:tc>
          <w:tcPr>
            <w:tcW w:w="78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F9E" w:rsidRPr="000448BC" w:rsidRDefault="00534F9E" w:rsidP="00F47CDB">
            <w:pPr>
              <w:rPr>
                <w:color w:val="000000"/>
                <w:sz w:val="14"/>
                <w:szCs w:val="14"/>
                <w:lang w:val="hr-HR" w:eastAsia="hr-HR"/>
              </w:rPr>
            </w:pPr>
            <w:r w:rsidRPr="000448BC">
              <w:rPr>
                <w:color w:val="000000"/>
                <w:sz w:val="14"/>
                <w:szCs w:val="14"/>
                <w:lang w:val="hr-HR" w:eastAsia="hr-HR"/>
              </w:rPr>
              <w:t> </w:t>
            </w:r>
          </w:p>
        </w:tc>
        <w:tc>
          <w:tcPr>
            <w:tcW w:w="81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34F9E" w:rsidRPr="007F0227" w:rsidRDefault="00534F9E" w:rsidP="00F47CDB">
            <w:pPr>
              <w:jc w:val="right"/>
              <w:rPr>
                <w:b/>
                <w:bCs/>
                <w:color w:val="000000"/>
                <w:sz w:val="12"/>
                <w:szCs w:val="12"/>
                <w:lang w:val="hr-HR" w:eastAsia="hr-HR"/>
              </w:rPr>
            </w:pPr>
            <w:r w:rsidRPr="007F0227">
              <w:rPr>
                <w:color w:val="000000"/>
                <w:sz w:val="12"/>
                <w:szCs w:val="12"/>
              </w:rPr>
              <w:t>2009</w:t>
            </w:r>
          </w:p>
        </w:tc>
        <w:tc>
          <w:tcPr>
            <w:tcW w:w="849" w:type="dxa"/>
            <w:tcBorders>
              <w:top w:val="single" w:sz="4" w:space="0" w:color="auto"/>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
                <w:bCs/>
                <w:color w:val="000000"/>
                <w:sz w:val="12"/>
                <w:szCs w:val="12"/>
                <w:lang w:val="hr-HR" w:eastAsia="hr-HR"/>
              </w:rPr>
            </w:pPr>
            <w:r w:rsidRPr="007F0227">
              <w:rPr>
                <w:color w:val="000000"/>
                <w:sz w:val="12"/>
                <w:szCs w:val="12"/>
              </w:rPr>
              <w:t>2010</w:t>
            </w:r>
          </w:p>
        </w:tc>
        <w:tc>
          <w:tcPr>
            <w:tcW w:w="991" w:type="dxa"/>
            <w:tcBorders>
              <w:top w:val="single" w:sz="4" w:space="0" w:color="auto"/>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
                <w:bCs/>
                <w:color w:val="000000"/>
                <w:sz w:val="12"/>
                <w:szCs w:val="12"/>
                <w:lang w:val="hr-HR" w:eastAsia="hr-HR"/>
              </w:rPr>
            </w:pPr>
            <w:r w:rsidRPr="007F0227">
              <w:rPr>
                <w:color w:val="000000"/>
                <w:sz w:val="12"/>
                <w:szCs w:val="12"/>
              </w:rPr>
              <w:t>2011</w:t>
            </w:r>
          </w:p>
        </w:tc>
        <w:tc>
          <w:tcPr>
            <w:tcW w:w="1003" w:type="dxa"/>
            <w:tcBorders>
              <w:top w:val="single" w:sz="4" w:space="0" w:color="auto"/>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
                <w:bCs/>
                <w:color w:val="000000"/>
                <w:sz w:val="12"/>
                <w:szCs w:val="12"/>
                <w:lang w:val="hr-HR" w:eastAsia="hr-HR"/>
              </w:rPr>
            </w:pPr>
            <w:r w:rsidRPr="007F0227">
              <w:rPr>
                <w:color w:val="000000"/>
                <w:sz w:val="12"/>
                <w:szCs w:val="12"/>
              </w:rPr>
              <w:t>2012</w:t>
            </w:r>
          </w:p>
        </w:tc>
        <w:tc>
          <w:tcPr>
            <w:tcW w:w="915" w:type="dxa"/>
            <w:tcBorders>
              <w:top w:val="single" w:sz="4" w:space="0" w:color="auto"/>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
                <w:bCs/>
                <w:color w:val="000000"/>
                <w:sz w:val="12"/>
                <w:szCs w:val="12"/>
                <w:lang w:val="hr-HR" w:eastAsia="hr-HR"/>
              </w:rPr>
            </w:pPr>
            <w:r w:rsidRPr="007F0227">
              <w:rPr>
                <w:color w:val="000000"/>
                <w:sz w:val="12"/>
                <w:szCs w:val="12"/>
              </w:rPr>
              <w:t>2013</w:t>
            </w:r>
          </w:p>
        </w:tc>
        <w:tc>
          <w:tcPr>
            <w:tcW w:w="915" w:type="dxa"/>
            <w:tcBorders>
              <w:top w:val="single" w:sz="4" w:space="0" w:color="auto"/>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
                <w:bCs/>
                <w:color w:val="000000"/>
                <w:sz w:val="12"/>
                <w:szCs w:val="12"/>
                <w:lang w:val="hr-HR" w:eastAsia="hr-HR"/>
              </w:rPr>
            </w:pPr>
            <w:r w:rsidRPr="007F0227">
              <w:rPr>
                <w:color w:val="000000"/>
                <w:sz w:val="12"/>
                <w:szCs w:val="12"/>
              </w:rPr>
              <w:t>2014</w:t>
            </w:r>
          </w:p>
        </w:tc>
        <w:tc>
          <w:tcPr>
            <w:tcW w:w="915" w:type="dxa"/>
            <w:tcBorders>
              <w:top w:val="single" w:sz="4" w:space="0" w:color="auto"/>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
                <w:bCs/>
                <w:color w:val="000000"/>
                <w:sz w:val="12"/>
                <w:szCs w:val="12"/>
                <w:lang w:val="hr-HR" w:eastAsia="hr-HR"/>
              </w:rPr>
            </w:pPr>
            <w:r w:rsidRPr="007F0227">
              <w:rPr>
                <w:color w:val="000000"/>
                <w:sz w:val="12"/>
                <w:szCs w:val="12"/>
              </w:rPr>
              <w:t>2015</w:t>
            </w:r>
          </w:p>
        </w:tc>
        <w:tc>
          <w:tcPr>
            <w:tcW w:w="915" w:type="dxa"/>
            <w:tcBorders>
              <w:top w:val="single" w:sz="4" w:space="0" w:color="auto"/>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
                <w:bCs/>
                <w:color w:val="000000"/>
                <w:sz w:val="12"/>
                <w:szCs w:val="12"/>
                <w:lang w:val="hr-HR" w:eastAsia="hr-HR"/>
              </w:rPr>
            </w:pPr>
            <w:r w:rsidRPr="007F0227">
              <w:rPr>
                <w:color w:val="000000"/>
                <w:sz w:val="12"/>
                <w:szCs w:val="12"/>
              </w:rPr>
              <w:t>2016</w:t>
            </w:r>
          </w:p>
        </w:tc>
        <w:tc>
          <w:tcPr>
            <w:tcW w:w="860" w:type="dxa"/>
            <w:tcBorders>
              <w:top w:val="single" w:sz="4" w:space="0" w:color="auto"/>
              <w:left w:val="nil"/>
              <w:bottom w:val="single" w:sz="4" w:space="0" w:color="auto"/>
              <w:right w:val="single" w:sz="4" w:space="0" w:color="auto"/>
            </w:tcBorders>
            <w:shd w:val="clear" w:color="auto" w:fill="auto"/>
            <w:vAlign w:val="bottom"/>
            <w:hideMark/>
          </w:tcPr>
          <w:p w:rsidR="00534F9E" w:rsidRPr="007F0227" w:rsidRDefault="00534F9E" w:rsidP="00F47CDB">
            <w:pPr>
              <w:jc w:val="right"/>
              <w:rPr>
                <w:b/>
                <w:bCs/>
                <w:color w:val="000000"/>
                <w:sz w:val="12"/>
                <w:szCs w:val="12"/>
                <w:lang w:val="hr-HR" w:eastAsia="hr-HR"/>
              </w:rPr>
            </w:pPr>
            <w:r w:rsidRPr="007F0227">
              <w:rPr>
                <w:color w:val="000000"/>
                <w:sz w:val="12"/>
                <w:szCs w:val="12"/>
              </w:rPr>
              <w:t>2017</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rsidR="00534F9E" w:rsidRPr="007F0227" w:rsidRDefault="00534F9E" w:rsidP="00F47CDB">
            <w:pPr>
              <w:jc w:val="right"/>
              <w:rPr>
                <w:b/>
                <w:bCs/>
                <w:color w:val="000000"/>
                <w:sz w:val="12"/>
                <w:szCs w:val="12"/>
                <w:lang w:val="hr-HR" w:eastAsia="hr-HR"/>
              </w:rPr>
            </w:pPr>
            <w:r w:rsidRPr="007F0227">
              <w:rPr>
                <w:color w:val="000000"/>
                <w:sz w:val="12"/>
                <w:szCs w:val="12"/>
              </w:rPr>
              <w:t>2018</w:t>
            </w:r>
          </w:p>
        </w:tc>
        <w:tc>
          <w:tcPr>
            <w:tcW w:w="839" w:type="dxa"/>
            <w:tcBorders>
              <w:top w:val="single" w:sz="4" w:space="0" w:color="auto"/>
              <w:left w:val="nil"/>
              <w:bottom w:val="single" w:sz="4" w:space="0" w:color="auto"/>
              <w:right w:val="single" w:sz="4" w:space="0" w:color="auto"/>
            </w:tcBorders>
            <w:shd w:val="clear" w:color="auto" w:fill="auto"/>
            <w:vAlign w:val="bottom"/>
          </w:tcPr>
          <w:p w:rsidR="00534F9E" w:rsidRPr="007F0227" w:rsidRDefault="00534F9E" w:rsidP="00F47CDB">
            <w:pPr>
              <w:jc w:val="right"/>
              <w:rPr>
                <w:b/>
                <w:bCs/>
                <w:color w:val="000000"/>
                <w:sz w:val="12"/>
                <w:szCs w:val="12"/>
                <w:lang w:val="hr-HR" w:eastAsia="hr-HR"/>
              </w:rPr>
            </w:pPr>
            <w:r w:rsidRPr="007F0227">
              <w:rPr>
                <w:color w:val="000000"/>
                <w:sz w:val="12"/>
                <w:szCs w:val="12"/>
              </w:rPr>
              <w:t>2019</w:t>
            </w:r>
          </w:p>
        </w:tc>
      </w:tr>
      <w:tr w:rsidR="00534F9E" w:rsidRPr="000448BC" w:rsidTr="00F47CDB">
        <w:trPr>
          <w:trHeight w:val="378"/>
        </w:trPr>
        <w:tc>
          <w:tcPr>
            <w:tcW w:w="788" w:type="dxa"/>
            <w:tcBorders>
              <w:top w:val="nil"/>
              <w:left w:val="single" w:sz="4" w:space="0" w:color="auto"/>
              <w:bottom w:val="single" w:sz="4" w:space="0" w:color="auto"/>
              <w:right w:val="single" w:sz="4" w:space="0" w:color="auto"/>
            </w:tcBorders>
            <w:shd w:val="clear" w:color="000000" w:fill="FFFFFF"/>
            <w:vAlign w:val="bottom"/>
            <w:hideMark/>
          </w:tcPr>
          <w:p w:rsidR="00534F9E" w:rsidRPr="007C4535" w:rsidRDefault="00534F9E" w:rsidP="00F47CDB">
            <w:pPr>
              <w:rPr>
                <w:bCs/>
                <w:color w:val="000000"/>
                <w:sz w:val="14"/>
                <w:szCs w:val="14"/>
                <w:lang w:val="hr-HR" w:eastAsia="hr-HR"/>
              </w:rPr>
            </w:pPr>
            <w:r w:rsidRPr="007C4535">
              <w:rPr>
                <w:bCs/>
                <w:color w:val="000000"/>
                <w:sz w:val="14"/>
                <w:szCs w:val="14"/>
                <w:lang w:val="hr-HR" w:eastAsia="hr-HR"/>
              </w:rPr>
              <w:t>A.Ukupni rashodi i izdaci</w:t>
            </w:r>
          </w:p>
        </w:tc>
        <w:tc>
          <w:tcPr>
            <w:tcW w:w="817" w:type="dxa"/>
            <w:tcBorders>
              <w:top w:val="nil"/>
              <w:left w:val="single" w:sz="4" w:space="0" w:color="auto"/>
              <w:bottom w:val="single" w:sz="4" w:space="0" w:color="auto"/>
              <w:right w:val="single" w:sz="4" w:space="0" w:color="auto"/>
            </w:tcBorders>
            <w:shd w:val="clear" w:color="000000" w:fill="FFFFFF"/>
            <w:vAlign w:val="bottom"/>
            <w:hideMark/>
          </w:tcPr>
          <w:p w:rsidR="00534F9E" w:rsidRPr="007F0227" w:rsidRDefault="00534F9E" w:rsidP="00F47CDB">
            <w:pPr>
              <w:rPr>
                <w:bCs/>
                <w:color w:val="000000"/>
                <w:sz w:val="12"/>
                <w:szCs w:val="12"/>
                <w:lang w:val="hr-HR" w:eastAsia="hr-HR"/>
              </w:rPr>
            </w:pPr>
            <w:r w:rsidRPr="007F0227">
              <w:rPr>
                <w:color w:val="000000"/>
                <w:sz w:val="12"/>
                <w:szCs w:val="12"/>
              </w:rPr>
              <w:t>169.778.434</w:t>
            </w:r>
          </w:p>
        </w:tc>
        <w:tc>
          <w:tcPr>
            <w:tcW w:w="849" w:type="dxa"/>
            <w:tcBorders>
              <w:top w:val="nil"/>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176.564.035</w:t>
            </w:r>
          </w:p>
        </w:tc>
        <w:tc>
          <w:tcPr>
            <w:tcW w:w="991" w:type="dxa"/>
            <w:tcBorders>
              <w:top w:val="nil"/>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181.618.065</w:t>
            </w:r>
          </w:p>
        </w:tc>
        <w:tc>
          <w:tcPr>
            <w:tcW w:w="1003" w:type="dxa"/>
            <w:tcBorders>
              <w:top w:val="nil"/>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176.466.392</w:t>
            </w:r>
          </w:p>
        </w:tc>
        <w:tc>
          <w:tcPr>
            <w:tcW w:w="915" w:type="dxa"/>
            <w:tcBorders>
              <w:top w:val="nil"/>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173.745.152</w:t>
            </w:r>
          </w:p>
        </w:tc>
        <w:tc>
          <w:tcPr>
            <w:tcW w:w="915" w:type="dxa"/>
            <w:tcBorders>
              <w:top w:val="nil"/>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188.788.062</w:t>
            </w:r>
          </w:p>
        </w:tc>
        <w:tc>
          <w:tcPr>
            <w:tcW w:w="915" w:type="dxa"/>
            <w:tcBorders>
              <w:top w:val="nil"/>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193.616.498</w:t>
            </w:r>
          </w:p>
        </w:tc>
        <w:tc>
          <w:tcPr>
            <w:tcW w:w="915" w:type="dxa"/>
            <w:tcBorders>
              <w:top w:val="nil"/>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192.549.743</w:t>
            </w:r>
          </w:p>
        </w:tc>
        <w:tc>
          <w:tcPr>
            <w:tcW w:w="860" w:type="dxa"/>
            <w:tcBorders>
              <w:top w:val="nil"/>
              <w:left w:val="nil"/>
              <w:bottom w:val="single" w:sz="4" w:space="0" w:color="auto"/>
              <w:right w:val="single" w:sz="4" w:space="0" w:color="auto"/>
            </w:tcBorders>
            <w:shd w:val="clear" w:color="auto" w:fill="auto"/>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193.735.646</w:t>
            </w:r>
          </w:p>
        </w:tc>
        <w:tc>
          <w:tcPr>
            <w:tcW w:w="849" w:type="dxa"/>
            <w:tcBorders>
              <w:top w:val="nil"/>
              <w:left w:val="nil"/>
              <w:bottom w:val="single" w:sz="4" w:space="0" w:color="auto"/>
              <w:right w:val="single" w:sz="4" w:space="0" w:color="auto"/>
            </w:tcBorders>
            <w:shd w:val="clear" w:color="auto" w:fill="auto"/>
            <w:noWrap/>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196.002.640</w:t>
            </w:r>
          </w:p>
        </w:tc>
        <w:tc>
          <w:tcPr>
            <w:tcW w:w="839" w:type="dxa"/>
            <w:tcBorders>
              <w:top w:val="nil"/>
              <w:left w:val="nil"/>
              <w:bottom w:val="single" w:sz="4" w:space="0" w:color="auto"/>
              <w:right w:val="single" w:sz="4" w:space="0" w:color="auto"/>
            </w:tcBorders>
            <w:shd w:val="clear" w:color="auto" w:fill="auto"/>
            <w:vAlign w:val="bottom"/>
          </w:tcPr>
          <w:p w:rsidR="00534F9E" w:rsidRPr="007F0227" w:rsidRDefault="00534F9E" w:rsidP="00F47CDB">
            <w:pPr>
              <w:jc w:val="right"/>
              <w:rPr>
                <w:bCs/>
                <w:color w:val="000000"/>
                <w:sz w:val="12"/>
                <w:szCs w:val="12"/>
                <w:lang w:val="hr-HR" w:eastAsia="hr-HR"/>
              </w:rPr>
            </w:pPr>
            <w:r w:rsidRPr="007F0227">
              <w:rPr>
                <w:color w:val="000000"/>
                <w:sz w:val="12"/>
                <w:szCs w:val="12"/>
              </w:rPr>
              <w:t>200.020.854</w:t>
            </w:r>
          </w:p>
        </w:tc>
      </w:tr>
      <w:tr w:rsidR="00534F9E" w:rsidRPr="000448BC" w:rsidTr="00F47CDB">
        <w:trPr>
          <w:trHeight w:val="397"/>
        </w:trPr>
        <w:tc>
          <w:tcPr>
            <w:tcW w:w="788" w:type="dxa"/>
            <w:tcBorders>
              <w:top w:val="nil"/>
              <w:left w:val="single" w:sz="4" w:space="0" w:color="auto"/>
              <w:bottom w:val="single" w:sz="4" w:space="0" w:color="auto"/>
              <w:right w:val="single" w:sz="4" w:space="0" w:color="auto"/>
            </w:tcBorders>
            <w:shd w:val="clear" w:color="000000" w:fill="FFFFFF"/>
            <w:vAlign w:val="bottom"/>
            <w:hideMark/>
          </w:tcPr>
          <w:p w:rsidR="00534F9E" w:rsidRPr="007C4535" w:rsidRDefault="00534F9E" w:rsidP="00F47CDB">
            <w:pPr>
              <w:rPr>
                <w:bCs/>
                <w:color w:val="000000"/>
                <w:sz w:val="14"/>
                <w:szCs w:val="14"/>
                <w:lang w:val="hr-HR" w:eastAsia="hr-HR"/>
              </w:rPr>
            </w:pPr>
            <w:r w:rsidRPr="007C4535">
              <w:rPr>
                <w:bCs/>
                <w:color w:val="000000"/>
                <w:sz w:val="14"/>
                <w:szCs w:val="14"/>
                <w:lang w:val="hr-HR" w:eastAsia="hr-HR"/>
              </w:rPr>
              <w:t xml:space="preserve">B.Ukupni prihodi primici </w:t>
            </w:r>
          </w:p>
        </w:tc>
        <w:tc>
          <w:tcPr>
            <w:tcW w:w="817" w:type="dxa"/>
            <w:tcBorders>
              <w:top w:val="nil"/>
              <w:left w:val="single" w:sz="4" w:space="0" w:color="auto"/>
              <w:bottom w:val="single" w:sz="4" w:space="0" w:color="auto"/>
              <w:right w:val="single" w:sz="4" w:space="0" w:color="auto"/>
            </w:tcBorders>
            <w:shd w:val="clear" w:color="000000" w:fill="FFFFFF"/>
            <w:vAlign w:val="bottom"/>
            <w:hideMark/>
          </w:tcPr>
          <w:p w:rsidR="00534F9E" w:rsidRPr="007F0227" w:rsidRDefault="00534F9E" w:rsidP="00F47CDB">
            <w:pPr>
              <w:rPr>
                <w:bCs/>
                <w:color w:val="000000"/>
                <w:sz w:val="12"/>
                <w:szCs w:val="12"/>
                <w:lang w:val="hr-HR" w:eastAsia="hr-HR"/>
              </w:rPr>
            </w:pPr>
            <w:r w:rsidRPr="007F0227">
              <w:rPr>
                <w:color w:val="000000"/>
                <w:sz w:val="12"/>
                <w:szCs w:val="12"/>
              </w:rPr>
              <w:t>169.863.730</w:t>
            </w:r>
          </w:p>
        </w:tc>
        <w:tc>
          <w:tcPr>
            <w:tcW w:w="849" w:type="dxa"/>
            <w:tcBorders>
              <w:top w:val="nil"/>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177.217.779</w:t>
            </w:r>
          </w:p>
        </w:tc>
        <w:tc>
          <w:tcPr>
            <w:tcW w:w="991" w:type="dxa"/>
            <w:tcBorders>
              <w:top w:val="nil"/>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174.565.640</w:t>
            </w:r>
          </w:p>
        </w:tc>
        <w:tc>
          <w:tcPr>
            <w:tcW w:w="1003" w:type="dxa"/>
            <w:tcBorders>
              <w:top w:val="nil"/>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164.063.900</w:t>
            </w:r>
          </w:p>
        </w:tc>
        <w:tc>
          <w:tcPr>
            <w:tcW w:w="915" w:type="dxa"/>
            <w:tcBorders>
              <w:top w:val="nil"/>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158.871.388</w:t>
            </w:r>
          </w:p>
        </w:tc>
        <w:tc>
          <w:tcPr>
            <w:tcW w:w="915" w:type="dxa"/>
            <w:tcBorders>
              <w:top w:val="nil"/>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166.453.554</w:t>
            </w:r>
          </w:p>
        </w:tc>
        <w:tc>
          <w:tcPr>
            <w:tcW w:w="915" w:type="dxa"/>
            <w:tcBorders>
              <w:top w:val="nil"/>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188.713.359</w:t>
            </w:r>
          </w:p>
        </w:tc>
        <w:tc>
          <w:tcPr>
            <w:tcW w:w="915" w:type="dxa"/>
            <w:tcBorders>
              <w:top w:val="nil"/>
              <w:left w:val="nil"/>
              <w:bottom w:val="single" w:sz="4" w:space="0" w:color="auto"/>
              <w:right w:val="single" w:sz="4" w:space="0" w:color="auto"/>
            </w:tcBorders>
            <w:shd w:val="clear" w:color="000000" w:fill="FFFFFF"/>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186.792.712</w:t>
            </w:r>
          </w:p>
        </w:tc>
        <w:tc>
          <w:tcPr>
            <w:tcW w:w="860" w:type="dxa"/>
            <w:tcBorders>
              <w:top w:val="nil"/>
              <w:left w:val="nil"/>
              <w:bottom w:val="single" w:sz="4" w:space="0" w:color="auto"/>
              <w:right w:val="single" w:sz="4" w:space="0" w:color="auto"/>
            </w:tcBorders>
            <w:shd w:val="clear" w:color="auto" w:fill="auto"/>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184.091.457</w:t>
            </w:r>
          </w:p>
        </w:tc>
        <w:tc>
          <w:tcPr>
            <w:tcW w:w="849" w:type="dxa"/>
            <w:tcBorders>
              <w:top w:val="nil"/>
              <w:left w:val="nil"/>
              <w:bottom w:val="single" w:sz="4" w:space="0" w:color="auto"/>
              <w:right w:val="single" w:sz="4" w:space="0" w:color="auto"/>
            </w:tcBorders>
            <w:shd w:val="clear" w:color="auto" w:fill="auto"/>
            <w:noWrap/>
            <w:vAlign w:val="bottom"/>
            <w:hideMark/>
          </w:tcPr>
          <w:p w:rsidR="00534F9E" w:rsidRPr="007F0227" w:rsidRDefault="00534F9E" w:rsidP="00F47CDB">
            <w:pPr>
              <w:jc w:val="right"/>
              <w:rPr>
                <w:bCs/>
                <w:color w:val="000000"/>
                <w:sz w:val="12"/>
                <w:szCs w:val="12"/>
                <w:lang w:val="hr-HR" w:eastAsia="hr-HR"/>
              </w:rPr>
            </w:pPr>
            <w:r w:rsidRPr="007F0227">
              <w:rPr>
                <w:color w:val="000000"/>
                <w:sz w:val="12"/>
                <w:szCs w:val="12"/>
              </w:rPr>
              <w:t>197.894.197</w:t>
            </w:r>
          </w:p>
        </w:tc>
        <w:tc>
          <w:tcPr>
            <w:tcW w:w="839" w:type="dxa"/>
            <w:tcBorders>
              <w:top w:val="nil"/>
              <w:left w:val="nil"/>
              <w:bottom w:val="single" w:sz="4" w:space="0" w:color="auto"/>
              <w:right w:val="single" w:sz="4" w:space="0" w:color="auto"/>
            </w:tcBorders>
            <w:shd w:val="clear" w:color="auto" w:fill="auto"/>
            <w:vAlign w:val="bottom"/>
          </w:tcPr>
          <w:p w:rsidR="00534F9E" w:rsidRPr="007F0227" w:rsidRDefault="00534F9E" w:rsidP="00F47CDB">
            <w:pPr>
              <w:jc w:val="right"/>
              <w:rPr>
                <w:bCs/>
                <w:sz w:val="12"/>
                <w:szCs w:val="12"/>
                <w:lang w:eastAsia="en-GB"/>
              </w:rPr>
            </w:pPr>
            <w:r w:rsidRPr="007F0227">
              <w:rPr>
                <w:color w:val="000000"/>
                <w:sz w:val="12"/>
                <w:szCs w:val="12"/>
              </w:rPr>
              <w:t>212.579.782</w:t>
            </w:r>
          </w:p>
        </w:tc>
      </w:tr>
      <w:tr w:rsidR="00534F9E" w:rsidRPr="000448BC" w:rsidTr="00F47CDB">
        <w:trPr>
          <w:trHeight w:val="515"/>
        </w:trPr>
        <w:tc>
          <w:tcPr>
            <w:tcW w:w="788" w:type="dxa"/>
            <w:tcBorders>
              <w:top w:val="nil"/>
              <w:left w:val="single" w:sz="4" w:space="0" w:color="auto"/>
              <w:bottom w:val="single" w:sz="4" w:space="0" w:color="auto"/>
              <w:right w:val="single" w:sz="4" w:space="0" w:color="auto"/>
            </w:tcBorders>
            <w:shd w:val="clear" w:color="000000" w:fill="FFFFFF"/>
            <w:vAlign w:val="bottom"/>
            <w:hideMark/>
          </w:tcPr>
          <w:p w:rsidR="00534F9E" w:rsidRPr="007C4535" w:rsidRDefault="00534F9E" w:rsidP="00F47CDB">
            <w:pPr>
              <w:rPr>
                <w:bCs/>
                <w:color w:val="000000"/>
                <w:sz w:val="14"/>
                <w:szCs w:val="14"/>
                <w:lang w:val="hr-HR" w:eastAsia="hr-HR"/>
              </w:rPr>
            </w:pPr>
            <w:r w:rsidRPr="007C4535">
              <w:rPr>
                <w:bCs/>
                <w:color w:val="000000"/>
                <w:sz w:val="14"/>
                <w:szCs w:val="14"/>
                <w:lang w:val="hr-HR" w:eastAsia="hr-HR"/>
              </w:rPr>
              <w:t>C. (A-B) deficit/ Suficit</w:t>
            </w:r>
          </w:p>
        </w:tc>
        <w:tc>
          <w:tcPr>
            <w:tcW w:w="817" w:type="dxa"/>
            <w:tcBorders>
              <w:top w:val="nil"/>
              <w:left w:val="single" w:sz="4" w:space="0" w:color="auto"/>
              <w:bottom w:val="single" w:sz="4" w:space="0" w:color="auto"/>
              <w:right w:val="single" w:sz="4" w:space="0" w:color="auto"/>
            </w:tcBorders>
            <w:shd w:val="clear" w:color="000000" w:fill="FFFFFF"/>
            <w:vAlign w:val="center"/>
            <w:hideMark/>
          </w:tcPr>
          <w:p w:rsidR="00534F9E" w:rsidRPr="007F0227" w:rsidRDefault="00534F9E" w:rsidP="00F47CDB">
            <w:pPr>
              <w:rPr>
                <w:bCs/>
                <w:color w:val="000000"/>
                <w:sz w:val="12"/>
                <w:szCs w:val="12"/>
                <w:lang w:val="hr-HR" w:eastAsia="hr-HR"/>
              </w:rPr>
            </w:pPr>
            <w:r w:rsidRPr="007F0227">
              <w:rPr>
                <w:color w:val="000000"/>
                <w:sz w:val="12"/>
                <w:szCs w:val="12"/>
              </w:rPr>
              <w:t>85.296</w:t>
            </w:r>
          </w:p>
        </w:tc>
        <w:tc>
          <w:tcPr>
            <w:tcW w:w="849" w:type="dxa"/>
            <w:tcBorders>
              <w:top w:val="nil"/>
              <w:left w:val="nil"/>
              <w:bottom w:val="single" w:sz="4" w:space="0" w:color="auto"/>
              <w:right w:val="single" w:sz="4" w:space="0" w:color="auto"/>
            </w:tcBorders>
            <w:shd w:val="clear" w:color="000000" w:fill="FFFFFF"/>
            <w:vAlign w:val="center"/>
            <w:hideMark/>
          </w:tcPr>
          <w:p w:rsidR="00534F9E" w:rsidRPr="007F0227" w:rsidRDefault="00534F9E" w:rsidP="00F47CDB">
            <w:pPr>
              <w:jc w:val="right"/>
              <w:rPr>
                <w:bCs/>
                <w:color w:val="000000"/>
                <w:sz w:val="12"/>
                <w:szCs w:val="12"/>
                <w:lang w:val="hr-HR" w:eastAsia="hr-HR"/>
              </w:rPr>
            </w:pPr>
            <w:r w:rsidRPr="007F0227">
              <w:rPr>
                <w:color w:val="000000"/>
                <w:sz w:val="12"/>
                <w:szCs w:val="12"/>
              </w:rPr>
              <w:t>653.744</w:t>
            </w:r>
          </w:p>
        </w:tc>
        <w:tc>
          <w:tcPr>
            <w:tcW w:w="991" w:type="dxa"/>
            <w:tcBorders>
              <w:top w:val="nil"/>
              <w:left w:val="nil"/>
              <w:bottom w:val="single" w:sz="4" w:space="0" w:color="auto"/>
              <w:right w:val="single" w:sz="4" w:space="0" w:color="auto"/>
            </w:tcBorders>
            <w:shd w:val="clear" w:color="000000" w:fill="FFFFFF"/>
            <w:vAlign w:val="center"/>
            <w:hideMark/>
          </w:tcPr>
          <w:p w:rsidR="00534F9E" w:rsidRPr="007F0227" w:rsidRDefault="00534F9E" w:rsidP="00F47CDB">
            <w:pPr>
              <w:jc w:val="right"/>
              <w:rPr>
                <w:bCs/>
                <w:color w:val="000000"/>
                <w:sz w:val="12"/>
                <w:szCs w:val="12"/>
                <w:lang w:val="hr-HR" w:eastAsia="hr-HR"/>
              </w:rPr>
            </w:pPr>
            <w:r w:rsidRPr="007F0227">
              <w:rPr>
                <w:color w:val="000000"/>
                <w:sz w:val="12"/>
                <w:szCs w:val="12"/>
              </w:rPr>
              <w:t>-7.052.425</w:t>
            </w:r>
          </w:p>
        </w:tc>
        <w:tc>
          <w:tcPr>
            <w:tcW w:w="1003" w:type="dxa"/>
            <w:tcBorders>
              <w:top w:val="nil"/>
              <w:left w:val="nil"/>
              <w:bottom w:val="single" w:sz="4" w:space="0" w:color="auto"/>
              <w:right w:val="single" w:sz="4" w:space="0" w:color="auto"/>
            </w:tcBorders>
            <w:shd w:val="clear" w:color="000000" w:fill="FFFFFF"/>
            <w:vAlign w:val="center"/>
            <w:hideMark/>
          </w:tcPr>
          <w:p w:rsidR="00534F9E" w:rsidRPr="007F0227" w:rsidRDefault="00534F9E" w:rsidP="00F47CDB">
            <w:pPr>
              <w:jc w:val="right"/>
              <w:rPr>
                <w:bCs/>
                <w:color w:val="000000"/>
                <w:sz w:val="12"/>
                <w:szCs w:val="12"/>
                <w:lang w:val="hr-HR" w:eastAsia="hr-HR"/>
              </w:rPr>
            </w:pPr>
            <w:r w:rsidRPr="007F0227">
              <w:rPr>
                <w:color w:val="000000"/>
                <w:sz w:val="12"/>
                <w:szCs w:val="12"/>
              </w:rPr>
              <w:t>-12.402.492</w:t>
            </w:r>
          </w:p>
        </w:tc>
        <w:tc>
          <w:tcPr>
            <w:tcW w:w="915" w:type="dxa"/>
            <w:tcBorders>
              <w:top w:val="nil"/>
              <w:left w:val="nil"/>
              <w:bottom w:val="single" w:sz="4" w:space="0" w:color="auto"/>
              <w:right w:val="single" w:sz="4" w:space="0" w:color="auto"/>
            </w:tcBorders>
            <w:shd w:val="clear" w:color="000000" w:fill="FFFFFF"/>
            <w:vAlign w:val="center"/>
            <w:hideMark/>
          </w:tcPr>
          <w:p w:rsidR="00534F9E" w:rsidRPr="007F0227" w:rsidRDefault="00534F9E" w:rsidP="00F47CDB">
            <w:pPr>
              <w:jc w:val="right"/>
              <w:rPr>
                <w:bCs/>
                <w:color w:val="000000"/>
                <w:sz w:val="12"/>
                <w:szCs w:val="12"/>
                <w:lang w:val="hr-HR" w:eastAsia="hr-HR"/>
              </w:rPr>
            </w:pPr>
            <w:r w:rsidRPr="007F0227">
              <w:rPr>
                <w:color w:val="000000"/>
                <w:sz w:val="12"/>
                <w:szCs w:val="12"/>
              </w:rPr>
              <w:t>-14.873.764</w:t>
            </w:r>
          </w:p>
        </w:tc>
        <w:tc>
          <w:tcPr>
            <w:tcW w:w="915" w:type="dxa"/>
            <w:tcBorders>
              <w:top w:val="nil"/>
              <w:left w:val="nil"/>
              <w:bottom w:val="single" w:sz="4" w:space="0" w:color="auto"/>
              <w:right w:val="single" w:sz="4" w:space="0" w:color="auto"/>
            </w:tcBorders>
            <w:shd w:val="clear" w:color="000000" w:fill="FFFFFF"/>
            <w:vAlign w:val="center"/>
            <w:hideMark/>
          </w:tcPr>
          <w:p w:rsidR="00534F9E" w:rsidRPr="007F0227" w:rsidRDefault="00534F9E" w:rsidP="00F47CDB">
            <w:pPr>
              <w:jc w:val="right"/>
              <w:rPr>
                <w:bCs/>
                <w:color w:val="000000"/>
                <w:sz w:val="12"/>
                <w:szCs w:val="12"/>
                <w:lang w:val="hr-HR" w:eastAsia="hr-HR"/>
              </w:rPr>
            </w:pPr>
            <w:r w:rsidRPr="007F0227">
              <w:rPr>
                <w:color w:val="000000"/>
                <w:sz w:val="12"/>
                <w:szCs w:val="12"/>
              </w:rPr>
              <w:t>-22.334.508</w:t>
            </w:r>
          </w:p>
        </w:tc>
        <w:tc>
          <w:tcPr>
            <w:tcW w:w="915" w:type="dxa"/>
            <w:tcBorders>
              <w:top w:val="nil"/>
              <w:left w:val="nil"/>
              <w:bottom w:val="single" w:sz="4" w:space="0" w:color="auto"/>
              <w:right w:val="single" w:sz="4" w:space="0" w:color="auto"/>
            </w:tcBorders>
            <w:shd w:val="clear" w:color="000000" w:fill="FFFFFF"/>
            <w:vAlign w:val="center"/>
            <w:hideMark/>
          </w:tcPr>
          <w:p w:rsidR="00534F9E" w:rsidRPr="007F0227" w:rsidRDefault="00534F9E" w:rsidP="00F47CDB">
            <w:pPr>
              <w:jc w:val="right"/>
              <w:rPr>
                <w:bCs/>
                <w:color w:val="000000"/>
                <w:sz w:val="12"/>
                <w:szCs w:val="12"/>
                <w:lang w:val="hr-HR" w:eastAsia="hr-HR"/>
              </w:rPr>
            </w:pPr>
            <w:r w:rsidRPr="007F0227">
              <w:rPr>
                <w:color w:val="000000"/>
                <w:sz w:val="12"/>
                <w:szCs w:val="12"/>
              </w:rPr>
              <w:t>-4.903.139</w:t>
            </w:r>
          </w:p>
        </w:tc>
        <w:tc>
          <w:tcPr>
            <w:tcW w:w="915" w:type="dxa"/>
            <w:tcBorders>
              <w:top w:val="nil"/>
              <w:left w:val="nil"/>
              <w:bottom w:val="single" w:sz="4" w:space="0" w:color="auto"/>
              <w:right w:val="single" w:sz="4" w:space="0" w:color="auto"/>
            </w:tcBorders>
            <w:shd w:val="clear" w:color="000000" w:fill="FFFFFF"/>
            <w:vAlign w:val="center"/>
            <w:hideMark/>
          </w:tcPr>
          <w:p w:rsidR="00534F9E" w:rsidRPr="007F0227" w:rsidRDefault="00534F9E" w:rsidP="00F47CDB">
            <w:pPr>
              <w:jc w:val="right"/>
              <w:rPr>
                <w:bCs/>
                <w:color w:val="000000"/>
                <w:sz w:val="12"/>
                <w:szCs w:val="12"/>
                <w:lang w:val="hr-HR" w:eastAsia="hr-HR"/>
              </w:rPr>
            </w:pPr>
            <w:r w:rsidRPr="007F0227">
              <w:rPr>
                <w:color w:val="000000"/>
                <w:sz w:val="12"/>
                <w:szCs w:val="12"/>
              </w:rPr>
              <w:t>-5.757.031</w:t>
            </w:r>
          </w:p>
        </w:tc>
        <w:tc>
          <w:tcPr>
            <w:tcW w:w="860" w:type="dxa"/>
            <w:tcBorders>
              <w:top w:val="nil"/>
              <w:left w:val="nil"/>
              <w:bottom w:val="single" w:sz="4" w:space="0" w:color="auto"/>
              <w:right w:val="single" w:sz="4" w:space="0" w:color="auto"/>
            </w:tcBorders>
            <w:shd w:val="clear" w:color="auto" w:fill="auto"/>
            <w:vAlign w:val="center"/>
            <w:hideMark/>
          </w:tcPr>
          <w:p w:rsidR="00534F9E" w:rsidRPr="007F0227" w:rsidRDefault="00534F9E" w:rsidP="00F47CDB">
            <w:pPr>
              <w:jc w:val="right"/>
              <w:rPr>
                <w:bCs/>
                <w:color w:val="000000"/>
                <w:sz w:val="12"/>
                <w:szCs w:val="12"/>
                <w:lang w:val="hr-HR" w:eastAsia="hr-HR"/>
              </w:rPr>
            </w:pPr>
            <w:r w:rsidRPr="007F0227">
              <w:rPr>
                <w:color w:val="000000"/>
                <w:sz w:val="12"/>
                <w:szCs w:val="12"/>
              </w:rPr>
              <w:t>-9.644.189</w:t>
            </w:r>
          </w:p>
        </w:tc>
        <w:tc>
          <w:tcPr>
            <w:tcW w:w="849" w:type="dxa"/>
            <w:tcBorders>
              <w:top w:val="nil"/>
              <w:left w:val="nil"/>
              <w:bottom w:val="single" w:sz="4" w:space="0" w:color="auto"/>
              <w:right w:val="single" w:sz="4" w:space="0" w:color="auto"/>
            </w:tcBorders>
            <w:shd w:val="clear" w:color="auto" w:fill="auto"/>
            <w:noWrap/>
            <w:vAlign w:val="center"/>
            <w:hideMark/>
          </w:tcPr>
          <w:p w:rsidR="00534F9E" w:rsidRPr="00EA5E64" w:rsidRDefault="00534F9E" w:rsidP="00F47CDB">
            <w:pPr>
              <w:jc w:val="right"/>
              <w:rPr>
                <w:b/>
                <w:bCs/>
                <w:color w:val="000000"/>
                <w:sz w:val="12"/>
                <w:szCs w:val="12"/>
                <w:lang w:val="hr-HR" w:eastAsia="hr-HR"/>
              </w:rPr>
            </w:pPr>
            <w:r w:rsidRPr="00EA5E64">
              <w:rPr>
                <w:b/>
                <w:bCs/>
                <w:color w:val="000000"/>
                <w:sz w:val="12"/>
                <w:szCs w:val="12"/>
              </w:rPr>
              <w:t>1.891.557</w:t>
            </w:r>
          </w:p>
        </w:tc>
        <w:tc>
          <w:tcPr>
            <w:tcW w:w="839" w:type="dxa"/>
            <w:tcBorders>
              <w:top w:val="nil"/>
              <w:left w:val="nil"/>
              <w:bottom w:val="single" w:sz="4" w:space="0" w:color="auto"/>
              <w:right w:val="single" w:sz="4" w:space="0" w:color="auto"/>
            </w:tcBorders>
            <w:shd w:val="clear" w:color="auto" w:fill="auto"/>
            <w:vAlign w:val="center"/>
          </w:tcPr>
          <w:p w:rsidR="00534F9E" w:rsidRPr="00EA5E64" w:rsidRDefault="00534F9E" w:rsidP="00F47CDB">
            <w:pPr>
              <w:jc w:val="right"/>
              <w:rPr>
                <w:b/>
                <w:bCs/>
                <w:color w:val="000000"/>
                <w:sz w:val="12"/>
                <w:szCs w:val="12"/>
                <w:lang w:val="hr-HR" w:eastAsia="hr-HR"/>
              </w:rPr>
            </w:pPr>
            <w:r w:rsidRPr="00EA5E64">
              <w:rPr>
                <w:b/>
                <w:bCs/>
                <w:color w:val="000000"/>
                <w:sz w:val="12"/>
                <w:szCs w:val="12"/>
              </w:rPr>
              <w:t>12.558.928</w:t>
            </w:r>
          </w:p>
        </w:tc>
      </w:tr>
    </w:tbl>
    <w:p w:rsidR="00E6492A" w:rsidRDefault="00E6492A" w:rsidP="00534F9E">
      <w:pPr>
        <w:ind w:firstLine="708"/>
        <w:jc w:val="both"/>
        <w:rPr>
          <w:i/>
          <w:sz w:val="24"/>
          <w:szCs w:val="24"/>
        </w:rPr>
      </w:pPr>
    </w:p>
    <w:p w:rsidR="00534F9E" w:rsidRPr="0030598F" w:rsidRDefault="00534F9E" w:rsidP="00534F9E">
      <w:pPr>
        <w:ind w:firstLine="708"/>
        <w:jc w:val="both"/>
        <w:rPr>
          <w:b/>
          <w:bCs/>
          <w:sz w:val="24"/>
          <w:szCs w:val="24"/>
          <w:lang w:val="hr-HR"/>
        </w:rPr>
      </w:pPr>
      <w:r>
        <w:rPr>
          <w:i/>
          <w:sz w:val="24"/>
          <w:szCs w:val="24"/>
        </w:rPr>
        <w:t xml:space="preserve">U naprijed navedenoj tabeli dat je pregled ostvarenih suficita tj. deficita u periodu od 2009. do 2019. godine. Na osnovu Zakona o budžetima akumulirani deficit se mora pokriti u periodu od pet godina, s tim da se planira tekući suficit u planskoj godini, što će kanton bez značajnijih reformi teško ostvariti. Blagi trend rasta prihoda u odnosu na rashode zapoćeo je 2018. godine da bi se u 2019.-toj godini ostvario suficit od 12,56 mil KM koji je iskorišten za pokriće akumuliranog deficita. </w:t>
      </w:r>
      <w:r w:rsidRPr="0030598F">
        <w:rPr>
          <w:b/>
          <w:bCs/>
          <w:i/>
          <w:sz w:val="24"/>
          <w:szCs w:val="24"/>
        </w:rPr>
        <w:t>Nažalost ovaj trend će se najvjerojatnije zaustaviti u 2020. godini zbog svih dešavanja i usporenog ekonomskog rasta države izazvane pandemijom. Ako se u narednom periodu ne poduzmu mjere koje će rezultirati smanjenjem rashoda i izdataka, kanton će vrlo brzo doći u situaciju da neće moći finansirati svoje obaveze.</w:t>
      </w:r>
    </w:p>
    <w:p w:rsidR="00534F9E" w:rsidRDefault="00534F9E" w:rsidP="00534F9E">
      <w:pPr>
        <w:pStyle w:val="ListParagraph"/>
        <w:ind w:left="0"/>
        <w:jc w:val="both"/>
        <w:rPr>
          <w:rFonts w:ascii="Times New Roman" w:hAnsi="Times New Roman"/>
          <w:i/>
          <w:sz w:val="24"/>
          <w:szCs w:val="24"/>
        </w:rPr>
      </w:pPr>
    </w:p>
    <w:p w:rsidR="00534F9E" w:rsidRDefault="00534F9E" w:rsidP="00534F9E">
      <w:pPr>
        <w:pStyle w:val="ListParagraph"/>
        <w:ind w:left="0"/>
        <w:jc w:val="both"/>
        <w:rPr>
          <w:rFonts w:ascii="Times New Roman" w:hAnsi="Times New Roman"/>
          <w:i/>
          <w:sz w:val="24"/>
          <w:szCs w:val="24"/>
        </w:rPr>
      </w:pPr>
      <w:r>
        <w:rPr>
          <w:rFonts w:ascii="Times New Roman" w:hAnsi="Times New Roman"/>
          <w:i/>
          <w:sz w:val="24"/>
          <w:szCs w:val="24"/>
        </w:rPr>
        <w:t>Nadalje, u cilju jačanja fiskalne odgovornosti, izmjenjen je Zakon o budžetima u FBiH kojim  je uvedena Izjava o fiskalnoj procjeni posljedica novih propisa na budžet, kojom se zahtjeva da predlagaći novih obaveza za budžet istovremeno moraju da predlože i izvore finansiranja istih. Na taj način spiječiti će se donošenje propisa koji se ne mogu realizirati.</w:t>
      </w:r>
    </w:p>
    <w:p w:rsidR="00534F9E" w:rsidRPr="00723F5A" w:rsidRDefault="00534F9E" w:rsidP="00534F9E">
      <w:pPr>
        <w:pStyle w:val="Bodytext1"/>
        <w:shd w:val="clear" w:color="auto" w:fill="auto"/>
        <w:ind w:firstLine="0"/>
        <w:rPr>
          <w:rFonts w:ascii="Times New Roman" w:hAnsi="Times New Roman"/>
          <w:color w:val="000000"/>
          <w:sz w:val="24"/>
          <w:szCs w:val="24"/>
          <w:u w:val="single"/>
          <w:lang w:val="hr-HR"/>
        </w:rPr>
      </w:pPr>
      <w:r w:rsidRPr="00723F5A">
        <w:rPr>
          <w:rFonts w:ascii="Times New Roman" w:hAnsi="Times New Roman"/>
          <w:color w:val="000000"/>
          <w:sz w:val="24"/>
          <w:szCs w:val="24"/>
          <w:u w:val="single"/>
          <w:lang w:val="hr-HR"/>
        </w:rPr>
        <w:t>Rizici ostvarenja projeciranih prihoda mogu biti:</w:t>
      </w:r>
    </w:p>
    <w:p w:rsidR="00534F9E" w:rsidRPr="00DC06D7" w:rsidRDefault="00534F9E" w:rsidP="00887C88">
      <w:pPr>
        <w:pStyle w:val="Bodytext1"/>
        <w:numPr>
          <w:ilvl w:val="0"/>
          <w:numId w:val="14"/>
        </w:numPr>
        <w:shd w:val="clear" w:color="auto" w:fill="auto"/>
        <w:rPr>
          <w:rFonts w:ascii="Times New Roman" w:hAnsi="Times New Roman"/>
          <w:sz w:val="24"/>
          <w:szCs w:val="24"/>
          <w:lang w:val="hr-HR"/>
        </w:rPr>
      </w:pPr>
      <w:r w:rsidRPr="00DC06D7">
        <w:rPr>
          <w:rFonts w:ascii="Times New Roman" w:hAnsi="Times New Roman"/>
          <w:sz w:val="24"/>
          <w:szCs w:val="24"/>
          <w:lang w:val="hr-HR"/>
        </w:rPr>
        <w:t>odstupanja od predviđenog ekonomskog rasta</w:t>
      </w:r>
      <w:r>
        <w:rPr>
          <w:rFonts w:ascii="Times New Roman" w:hAnsi="Times New Roman"/>
          <w:sz w:val="24"/>
          <w:szCs w:val="24"/>
          <w:lang w:val="hr-HR"/>
        </w:rPr>
        <w:t>;</w:t>
      </w:r>
    </w:p>
    <w:p w:rsidR="00534F9E" w:rsidRPr="00DC06D7" w:rsidRDefault="00534F9E" w:rsidP="00887C88">
      <w:pPr>
        <w:pStyle w:val="Bodytext1"/>
        <w:numPr>
          <w:ilvl w:val="0"/>
          <w:numId w:val="14"/>
        </w:numPr>
        <w:shd w:val="clear" w:color="auto" w:fill="auto"/>
        <w:rPr>
          <w:rFonts w:ascii="Times New Roman" w:hAnsi="Times New Roman"/>
          <w:sz w:val="24"/>
          <w:szCs w:val="24"/>
          <w:lang w:val="hr-HR"/>
        </w:rPr>
      </w:pPr>
      <w:r w:rsidRPr="00DC06D7">
        <w:rPr>
          <w:rFonts w:ascii="Times New Roman" w:hAnsi="Times New Roman"/>
          <w:sz w:val="24"/>
          <w:szCs w:val="24"/>
          <w:lang w:val="hr-HR"/>
        </w:rPr>
        <w:t>izmjene poreznih politika</w:t>
      </w:r>
      <w:r>
        <w:rPr>
          <w:rFonts w:ascii="Times New Roman" w:hAnsi="Times New Roman"/>
          <w:sz w:val="24"/>
          <w:szCs w:val="24"/>
          <w:lang w:val="hr-HR"/>
        </w:rPr>
        <w:t>;</w:t>
      </w:r>
    </w:p>
    <w:p w:rsidR="00534F9E" w:rsidRPr="00DC06D7" w:rsidRDefault="00534F9E" w:rsidP="00887C88">
      <w:pPr>
        <w:pStyle w:val="Bodytext1"/>
        <w:numPr>
          <w:ilvl w:val="0"/>
          <w:numId w:val="14"/>
        </w:numPr>
        <w:shd w:val="clear" w:color="auto" w:fill="auto"/>
        <w:rPr>
          <w:rFonts w:ascii="Times New Roman" w:hAnsi="Times New Roman"/>
          <w:sz w:val="24"/>
          <w:szCs w:val="24"/>
          <w:lang w:val="hr-HR"/>
        </w:rPr>
      </w:pPr>
      <w:r w:rsidRPr="00DC06D7">
        <w:rPr>
          <w:rFonts w:ascii="Times New Roman" w:hAnsi="Times New Roman"/>
          <w:sz w:val="24"/>
          <w:szCs w:val="24"/>
          <w:lang w:val="hr-HR"/>
        </w:rPr>
        <w:t>povećan povrat PD</w:t>
      </w:r>
      <w:r>
        <w:rPr>
          <w:rFonts w:ascii="Times New Roman" w:hAnsi="Times New Roman"/>
          <w:sz w:val="24"/>
          <w:szCs w:val="24"/>
          <w:lang w:val="hr-HR"/>
        </w:rPr>
        <w:t>V</w:t>
      </w:r>
      <w:r w:rsidRPr="00DC06D7">
        <w:rPr>
          <w:rFonts w:ascii="Times New Roman" w:hAnsi="Times New Roman"/>
          <w:sz w:val="24"/>
          <w:szCs w:val="24"/>
          <w:lang w:val="hr-HR"/>
        </w:rPr>
        <w:t>-a</w:t>
      </w:r>
      <w:r>
        <w:rPr>
          <w:rFonts w:ascii="Times New Roman" w:hAnsi="Times New Roman"/>
          <w:sz w:val="24"/>
          <w:szCs w:val="24"/>
          <w:lang w:val="hr-HR"/>
        </w:rPr>
        <w:t xml:space="preserve"> </w:t>
      </w:r>
      <w:r w:rsidRPr="00DC06D7">
        <w:rPr>
          <w:rFonts w:ascii="Times New Roman" w:hAnsi="Times New Roman"/>
          <w:sz w:val="24"/>
          <w:szCs w:val="24"/>
          <w:lang w:val="hr-HR"/>
        </w:rPr>
        <w:t>od predviđenog</w:t>
      </w:r>
      <w:r>
        <w:rPr>
          <w:rFonts w:ascii="Times New Roman" w:hAnsi="Times New Roman"/>
          <w:sz w:val="24"/>
          <w:szCs w:val="24"/>
          <w:lang w:val="hr-HR"/>
        </w:rPr>
        <w:t>;</w:t>
      </w:r>
    </w:p>
    <w:p w:rsidR="00F47CDB" w:rsidRDefault="00534F9E" w:rsidP="00887C88">
      <w:pPr>
        <w:pStyle w:val="Bodytext1"/>
        <w:numPr>
          <w:ilvl w:val="0"/>
          <w:numId w:val="14"/>
        </w:numPr>
        <w:shd w:val="clear" w:color="auto" w:fill="auto"/>
        <w:rPr>
          <w:rFonts w:ascii="Times New Roman" w:hAnsi="Times New Roman"/>
          <w:sz w:val="24"/>
          <w:szCs w:val="24"/>
          <w:lang w:val="hr-HR"/>
        </w:rPr>
      </w:pPr>
      <w:r w:rsidRPr="00F47CDB">
        <w:rPr>
          <w:rFonts w:ascii="Times New Roman" w:hAnsi="Times New Roman"/>
          <w:sz w:val="24"/>
          <w:szCs w:val="24"/>
          <w:lang w:val="hr-HR"/>
        </w:rPr>
        <w:t>odsustvo stabilnih koeficijenata raspodjele i promjena nivoa zaduženosti kada je riječ o prihodima od  indirektnih poreza;</w:t>
      </w:r>
    </w:p>
    <w:p w:rsidR="00534F9E" w:rsidRPr="00F47CDB" w:rsidRDefault="00534F9E" w:rsidP="00887C88">
      <w:pPr>
        <w:pStyle w:val="Bodytext1"/>
        <w:numPr>
          <w:ilvl w:val="0"/>
          <w:numId w:val="14"/>
        </w:numPr>
        <w:shd w:val="clear" w:color="auto" w:fill="auto"/>
        <w:rPr>
          <w:rFonts w:ascii="Times New Roman" w:hAnsi="Times New Roman"/>
          <w:sz w:val="24"/>
          <w:szCs w:val="24"/>
          <w:lang w:val="hr-HR"/>
        </w:rPr>
      </w:pPr>
      <w:r w:rsidRPr="00F47CDB">
        <w:rPr>
          <w:rFonts w:ascii="Times New Roman" w:hAnsi="Times New Roman"/>
          <w:sz w:val="24"/>
          <w:szCs w:val="24"/>
          <w:lang w:val="hr-HR"/>
        </w:rPr>
        <w:t>razvoj drugih nepredviđenih događaja(elementarne nepogode, pandemije i sl.).</w:t>
      </w:r>
    </w:p>
    <w:p w:rsidR="00534F9E" w:rsidRDefault="00534F9E" w:rsidP="00534F9E">
      <w:pPr>
        <w:rPr>
          <w:lang w:val="en-US"/>
        </w:rPr>
      </w:pPr>
    </w:p>
    <w:p w:rsidR="00534F9E" w:rsidRPr="00534F9E" w:rsidRDefault="00534F9E" w:rsidP="00534F9E">
      <w:pPr>
        <w:rPr>
          <w:lang w:val="en-US"/>
        </w:rPr>
      </w:pPr>
    </w:p>
    <w:p w:rsidR="00952625" w:rsidRPr="00F0274A" w:rsidRDefault="00335688" w:rsidP="00335688">
      <w:pPr>
        <w:pStyle w:val="Heading2"/>
        <w:rPr>
          <w:spacing w:val="-8"/>
        </w:rPr>
      </w:pPr>
      <w:bookmarkStart w:id="74" w:name="_Toc266777681"/>
      <w:bookmarkStart w:id="75" w:name="_Toc266779176"/>
      <w:bookmarkStart w:id="76" w:name="_Toc422899934"/>
      <w:r>
        <w:rPr>
          <w:lang w:eastAsia="bs-Latn-BA"/>
        </w:rPr>
        <w:t xml:space="preserve">2.4  </w:t>
      </w:r>
      <w:r w:rsidR="00ED5C99">
        <w:rPr>
          <w:lang w:eastAsia="bs-Latn-BA"/>
        </w:rPr>
        <w:t xml:space="preserve">Prihodi </w:t>
      </w:r>
      <w:r w:rsidR="00EC7B7C">
        <w:rPr>
          <w:lang w:eastAsia="bs-Latn-BA"/>
        </w:rPr>
        <w:t>i</w:t>
      </w:r>
      <w:r w:rsidR="00ED5C99">
        <w:rPr>
          <w:lang w:eastAsia="bs-Latn-BA"/>
        </w:rPr>
        <w:t xml:space="preserve"> rashodi </w:t>
      </w:r>
      <w:r w:rsidR="00A3610A">
        <w:rPr>
          <w:lang w:eastAsia="bs-Latn-BA"/>
        </w:rPr>
        <w:t>JU „</w:t>
      </w:r>
      <w:r w:rsidR="00A64F89">
        <w:rPr>
          <w:lang w:eastAsia="bs-Latn-BA"/>
        </w:rPr>
        <w:t xml:space="preserve"> </w:t>
      </w:r>
      <w:r w:rsidR="00952625" w:rsidRPr="00F0274A">
        <w:rPr>
          <w:lang w:eastAsia="bs-Latn-BA"/>
        </w:rPr>
        <w:t xml:space="preserve">Direkcija </w:t>
      </w:r>
      <w:r w:rsidR="00A3610A">
        <w:rPr>
          <w:lang w:eastAsia="bs-Latn-BA"/>
        </w:rPr>
        <w:t xml:space="preserve">regionalnih </w:t>
      </w:r>
      <w:r w:rsidR="00952625" w:rsidRPr="00F0274A">
        <w:rPr>
          <w:lang w:eastAsia="bs-Latn-BA"/>
        </w:rPr>
        <w:t>cest</w:t>
      </w:r>
      <w:r w:rsidR="00A3610A">
        <w:rPr>
          <w:lang w:eastAsia="bs-Latn-BA"/>
        </w:rPr>
        <w:t xml:space="preserve">a </w:t>
      </w:r>
      <w:r w:rsidR="008932CB" w:rsidRPr="00F0274A">
        <w:rPr>
          <w:lang w:eastAsia="bs-Latn-BA"/>
        </w:rPr>
        <w:t>Unsko-sanskog kantona</w:t>
      </w:r>
      <w:bookmarkEnd w:id="76"/>
      <w:r w:rsidR="00A64F89">
        <w:rPr>
          <w:lang w:eastAsia="bs-Latn-BA"/>
        </w:rPr>
        <w:t>“ Bihać</w:t>
      </w:r>
      <w:r w:rsidR="00952625" w:rsidRPr="00F0274A">
        <w:rPr>
          <w:i/>
        </w:rPr>
        <w:t xml:space="preserve"> </w:t>
      </w:r>
    </w:p>
    <w:p w:rsidR="009B7A50" w:rsidRDefault="009B7A50" w:rsidP="00952625">
      <w:pPr>
        <w:jc w:val="both"/>
        <w:rPr>
          <w:sz w:val="24"/>
          <w:szCs w:val="24"/>
        </w:rPr>
      </w:pPr>
    </w:p>
    <w:p w:rsidR="00F0274A" w:rsidRDefault="00952625" w:rsidP="00952625">
      <w:pPr>
        <w:jc w:val="both"/>
        <w:rPr>
          <w:sz w:val="24"/>
          <w:lang w:val="bs-Latn-BA" w:eastAsia="bs-Latn-BA"/>
        </w:rPr>
      </w:pPr>
      <w:r w:rsidRPr="00E82256">
        <w:rPr>
          <w:sz w:val="24"/>
          <w:szCs w:val="24"/>
        </w:rPr>
        <w:t xml:space="preserve">Od januara 2011. </w:t>
      </w:r>
      <w:r>
        <w:rPr>
          <w:sz w:val="24"/>
          <w:szCs w:val="24"/>
        </w:rPr>
        <w:t>g</w:t>
      </w:r>
      <w:r w:rsidRPr="00E82256">
        <w:rPr>
          <w:sz w:val="24"/>
          <w:szCs w:val="24"/>
        </w:rPr>
        <w:t xml:space="preserve">odine Direkcija za ceste USK-a  </w:t>
      </w:r>
      <w:r w:rsidRPr="00E82256">
        <w:rPr>
          <w:sz w:val="24"/>
          <w:lang w:val="bs-Latn-BA" w:eastAsia="bs-Latn-BA"/>
        </w:rPr>
        <w:t>egzistira kao samostalna JU</w:t>
      </w:r>
      <w:r>
        <w:rPr>
          <w:sz w:val="24"/>
          <w:lang w:val="bs-Latn-BA" w:eastAsia="bs-Latn-BA"/>
        </w:rPr>
        <w:t xml:space="preserve"> „ Direkcija regionalnih  cesta Unsko-sanskog kantona“ Bihać.</w:t>
      </w:r>
    </w:p>
    <w:p w:rsidR="00F0274A" w:rsidRPr="00335688" w:rsidRDefault="00952625" w:rsidP="00F0274A">
      <w:pPr>
        <w:jc w:val="both"/>
        <w:rPr>
          <w:sz w:val="28"/>
          <w:szCs w:val="22"/>
          <w:lang w:val="bs-Latn-BA" w:eastAsia="bs-Latn-BA"/>
        </w:rPr>
      </w:pPr>
      <w:r w:rsidRPr="00E82256">
        <w:rPr>
          <w:sz w:val="24"/>
          <w:lang w:val="bs-Latn-BA" w:eastAsia="bs-Latn-BA"/>
        </w:rPr>
        <w:t xml:space="preserve">  </w:t>
      </w:r>
      <w:r w:rsidR="00335688">
        <w:rPr>
          <w:sz w:val="24"/>
          <w:lang w:val="bs-Latn-BA" w:eastAsia="bs-Latn-BA"/>
        </w:rPr>
        <w:tab/>
      </w:r>
      <w:r w:rsidR="00F0274A" w:rsidRPr="00335688">
        <w:rPr>
          <w:b/>
          <w:sz w:val="24"/>
          <w:szCs w:val="22"/>
        </w:rPr>
        <w:t>Na osnovu čl.12 Zakona o cestama (''Službene novine F BiH'', broj 12/10, 16/10 i 66/13), upravljanje, građenje, rekonstrukciju, održavanje i zaštitu regionalnih cesta  vrše javne kantonalne ustanove za ceste.</w:t>
      </w:r>
    </w:p>
    <w:p w:rsidR="00F0274A" w:rsidRPr="00335688" w:rsidRDefault="00F0274A" w:rsidP="00F0274A">
      <w:pPr>
        <w:jc w:val="both"/>
        <w:rPr>
          <w:b/>
          <w:sz w:val="24"/>
          <w:szCs w:val="22"/>
        </w:rPr>
      </w:pPr>
      <w:r w:rsidRPr="00335688">
        <w:rPr>
          <w:b/>
          <w:sz w:val="24"/>
          <w:szCs w:val="22"/>
        </w:rPr>
        <w:t>Prema cit. Zakonu finansiranje  regionalnih cesta vrši se na osnovu čl. 88. i 93. iz javnih prihoda namijenjenim cestama.</w:t>
      </w:r>
    </w:p>
    <w:p w:rsidR="00FE26C7" w:rsidRDefault="00FE26C7" w:rsidP="00F0274A">
      <w:pPr>
        <w:jc w:val="both"/>
        <w:rPr>
          <w:b/>
        </w:rPr>
      </w:pPr>
    </w:p>
    <w:p w:rsidR="00FE26C7" w:rsidRDefault="00FE26C7" w:rsidP="00FE26C7">
      <w:pPr>
        <w:pStyle w:val="NoSpacing"/>
        <w:jc w:val="both"/>
        <w:rPr>
          <w:rFonts w:ascii="Times New Roman" w:hAnsi="Times New Roman"/>
          <w:sz w:val="24"/>
          <w:szCs w:val="24"/>
        </w:rPr>
      </w:pPr>
      <w:r w:rsidRPr="00FE26C7">
        <w:rPr>
          <w:rFonts w:ascii="Times New Roman" w:hAnsi="Times New Roman"/>
          <w:sz w:val="24"/>
          <w:szCs w:val="24"/>
        </w:rPr>
        <w:t xml:space="preserve">Prihodi od indirektnih poreza za 2020.godinu su planirani na osnovu revidirane projekcije Federalnog Ministarstva finansija broj 05-15-5-3530-2/19. Nastupanjem vanredne situacije uzrokovane pandemijom virusa, došlo je do pada naplate ovih prihoda u mjesecu aprilu i maju </w:t>
      </w:r>
      <w:r w:rsidRPr="00FE26C7">
        <w:rPr>
          <w:rFonts w:ascii="Times New Roman" w:hAnsi="Times New Roman"/>
          <w:sz w:val="24"/>
          <w:szCs w:val="24"/>
        </w:rPr>
        <w:lastRenderedPageBreak/>
        <w:t>2020.godine, te je u skladu s tim stigla i nova revidirana projekcija prihoda od indirektnih poreza Fedralnog ministarstva finansija broj 05-12-5-3361-1/20 za 2020.godinu kao i za period 2021.-2023.godine. Obzirom da je nedavno Vlada USK odlukom dala saglasnost na Prvu Izmjenu Plana i programa rada za 2020.godinu (12.05.2020.godine), u tabelama prihoda  DOB-a za ovu godinu je zadržan iznos planiranih prihoda sa početka godine čiji priliv će se sa pažnjom pratiti u narednom periodu radi eventualne korekcije, dok su ovi prihodi za period 2021.-2023.godina usklađeni sa novom projekcijom.</w:t>
      </w:r>
    </w:p>
    <w:p w:rsidR="00480706" w:rsidRPr="00FE26C7" w:rsidRDefault="00480706" w:rsidP="00FE26C7">
      <w:pPr>
        <w:pStyle w:val="NoSpacing"/>
        <w:jc w:val="both"/>
        <w:rPr>
          <w:rFonts w:ascii="Times New Roman" w:hAnsi="Times New Roman"/>
          <w:sz w:val="24"/>
          <w:szCs w:val="24"/>
        </w:rPr>
      </w:pPr>
    </w:p>
    <w:p w:rsidR="00480706" w:rsidRDefault="006E4A2A" w:rsidP="00335688">
      <w:pPr>
        <w:pStyle w:val="WW-Absatz-Standardschriftart1"/>
        <w:jc w:val="both"/>
        <w:rPr>
          <w:b/>
          <w:bCs/>
          <w:sz w:val="24"/>
          <w:szCs w:val="24"/>
        </w:rPr>
      </w:pPr>
      <w:r w:rsidRPr="006E4A2A">
        <w:rPr>
          <w:sz w:val="24"/>
          <w:szCs w:val="24"/>
        </w:rPr>
        <w:t xml:space="preserve">             </w:t>
      </w:r>
      <w:r w:rsidR="00F0274A">
        <w:t xml:space="preserve">                                            </w:t>
      </w:r>
      <w:r w:rsidR="00F0274A" w:rsidRPr="00EF6CBA">
        <w:t xml:space="preserve"> </w:t>
      </w:r>
      <w:r w:rsidR="00F0274A" w:rsidRPr="00335688">
        <w:rPr>
          <w:sz w:val="24"/>
          <w:szCs w:val="22"/>
        </w:rPr>
        <w:t>Projekcija prihoda Direkcije za ceste</w:t>
      </w:r>
      <w:r w:rsidR="00CD2964" w:rsidRPr="00335688">
        <w:rPr>
          <w:b/>
          <w:bCs/>
          <w:sz w:val="28"/>
          <w:szCs w:val="28"/>
        </w:rPr>
        <w:t xml:space="preserve"> </w:t>
      </w:r>
    </w:p>
    <w:p w:rsidR="00480706" w:rsidRDefault="00480706" w:rsidP="00CD2964">
      <w:pPr>
        <w:ind w:left="1440" w:hanging="1440"/>
        <w:jc w:val="both"/>
        <w:rPr>
          <w:b/>
          <w:bCs/>
          <w:sz w:val="24"/>
          <w:szCs w:val="24"/>
        </w:rPr>
      </w:pPr>
    </w:p>
    <w:p w:rsidR="00FE26C7" w:rsidRDefault="00400744" w:rsidP="00480706">
      <w:pPr>
        <w:tabs>
          <w:tab w:val="left" w:pos="4182"/>
        </w:tabs>
        <w:rPr>
          <w:b/>
          <w:bCs/>
          <w:sz w:val="24"/>
          <w:szCs w:val="24"/>
        </w:rPr>
      </w:pPr>
      <w:r>
        <w:rPr>
          <w:noProof/>
          <w:lang w:val="hr-HR" w:eastAsia="hr-HR"/>
        </w:rPr>
        <w:drawing>
          <wp:inline distT="0" distB="0" distL="0" distR="0">
            <wp:extent cx="6115050" cy="39814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6115050" cy="3981450"/>
                    </a:xfrm>
                    <a:prstGeom prst="rect">
                      <a:avLst/>
                    </a:prstGeom>
                    <a:noFill/>
                    <a:ln w="9525">
                      <a:noFill/>
                      <a:miter lim="800000"/>
                      <a:headEnd/>
                      <a:tailEnd/>
                    </a:ln>
                  </pic:spPr>
                </pic:pic>
              </a:graphicData>
            </a:graphic>
          </wp:inline>
        </w:drawing>
      </w:r>
    </w:p>
    <w:p w:rsidR="00FE26C7" w:rsidRDefault="00FE26C7" w:rsidP="00CD2964">
      <w:pPr>
        <w:jc w:val="both"/>
        <w:rPr>
          <w:b/>
          <w:bCs/>
          <w:sz w:val="24"/>
          <w:szCs w:val="24"/>
        </w:rPr>
      </w:pPr>
    </w:p>
    <w:p w:rsidR="00FE26C7" w:rsidRDefault="00FE26C7" w:rsidP="00FE26C7">
      <w:pPr>
        <w:pStyle w:val="NoSpacing"/>
        <w:jc w:val="both"/>
        <w:rPr>
          <w:rFonts w:ascii="Times New Roman" w:hAnsi="Times New Roman"/>
          <w:sz w:val="24"/>
          <w:szCs w:val="24"/>
        </w:rPr>
      </w:pPr>
      <w:r w:rsidRPr="00FE26C7">
        <w:rPr>
          <w:rFonts w:ascii="Times New Roman" w:hAnsi="Times New Roman"/>
          <w:sz w:val="24"/>
          <w:szCs w:val="24"/>
        </w:rPr>
        <w:t xml:space="preserve">Neporezni prihodi JU Direkcije regionalnih cesta USK </w:t>
      </w:r>
      <w:r w:rsidR="007D385B">
        <w:rPr>
          <w:rFonts w:ascii="Times New Roman" w:hAnsi="Times New Roman"/>
          <w:sz w:val="24"/>
          <w:szCs w:val="24"/>
        </w:rPr>
        <w:t>B</w:t>
      </w:r>
      <w:r w:rsidRPr="00FE26C7">
        <w:rPr>
          <w:rFonts w:ascii="Times New Roman" w:hAnsi="Times New Roman"/>
          <w:sz w:val="24"/>
          <w:szCs w:val="24"/>
        </w:rPr>
        <w:t>ihać (u daljem tekstu: Direkcija) se prikupljaju shodno Zakonu o cestama FBiH koje čine naknade za korištenje cesta prilikom registracije vozila i naknade iz zaštite cesta, značajnije se nisu mijenjale tokom prethodnog perioda a isti su projicirani na osnovu podataka o njihovom ostvarenju iz prethodnog perioda. Također, kao i indirektni porezi će biti predmetom praćenja u narednom periodu radi eventualne korekcije u 2020.godini i za naredne godine.</w:t>
      </w:r>
      <w:bookmarkStart w:id="77" w:name="OLE_LINK1"/>
      <w:bookmarkStart w:id="78" w:name="OLE_LINK3"/>
      <w:bookmarkStart w:id="79" w:name="OLE_LINK4"/>
    </w:p>
    <w:p w:rsidR="00FE26C7" w:rsidRPr="00FE26C7" w:rsidRDefault="00FE26C7" w:rsidP="00FE26C7">
      <w:pPr>
        <w:pStyle w:val="NoSpacing"/>
        <w:jc w:val="both"/>
        <w:rPr>
          <w:rFonts w:ascii="Times New Roman" w:hAnsi="Times New Roman"/>
          <w:sz w:val="24"/>
          <w:szCs w:val="24"/>
        </w:rPr>
      </w:pPr>
    </w:p>
    <w:p w:rsidR="00BD7A12" w:rsidRDefault="00FE26C7" w:rsidP="00FE26C7">
      <w:pPr>
        <w:pStyle w:val="NoSpacing"/>
        <w:jc w:val="both"/>
        <w:rPr>
          <w:rFonts w:ascii="Times New Roman" w:hAnsi="Times New Roman"/>
          <w:sz w:val="24"/>
          <w:szCs w:val="24"/>
        </w:rPr>
      </w:pPr>
      <w:r w:rsidRPr="00FE26C7">
        <w:rPr>
          <w:rFonts w:ascii="Times New Roman" w:hAnsi="Times New Roman"/>
          <w:sz w:val="24"/>
          <w:szCs w:val="24"/>
        </w:rPr>
        <w:t>Za razliku od 2019.godine u kojoj su realizirana sredstva iz GSM licence u iznosu od 0,148 mil.KM, za period 2020.-2023.godina nije moguće sa sigurnošću projicirati da li će pored redovnih prihoda doći do priliva sredstava iz nekih drugih izvora (GSM licenca, grantovi i sl.), iz tog razloga ova sredstva nisu ni planirana</w:t>
      </w:r>
      <w:bookmarkEnd w:id="77"/>
      <w:bookmarkEnd w:id="78"/>
      <w:bookmarkEnd w:id="79"/>
      <w:r w:rsidRPr="00FE26C7">
        <w:rPr>
          <w:rFonts w:ascii="Times New Roman" w:hAnsi="Times New Roman"/>
          <w:sz w:val="24"/>
          <w:szCs w:val="24"/>
        </w:rPr>
        <w:t xml:space="preserve"> DOB-om.</w:t>
      </w:r>
    </w:p>
    <w:p w:rsidR="00FE26C7" w:rsidRPr="00FE26C7" w:rsidRDefault="00FE26C7" w:rsidP="00FE26C7">
      <w:pPr>
        <w:pStyle w:val="NoSpacing"/>
        <w:jc w:val="both"/>
        <w:rPr>
          <w:rFonts w:ascii="Times New Roman" w:hAnsi="Times New Roman"/>
          <w:sz w:val="24"/>
          <w:szCs w:val="24"/>
        </w:rPr>
      </w:pPr>
      <w:r w:rsidRPr="00FE26C7">
        <w:rPr>
          <w:rFonts w:ascii="Times New Roman" w:hAnsi="Times New Roman"/>
          <w:sz w:val="24"/>
          <w:szCs w:val="24"/>
        </w:rPr>
        <w:t xml:space="preserve"> </w:t>
      </w:r>
    </w:p>
    <w:p w:rsidR="00B12D0E" w:rsidRDefault="00FE26C7" w:rsidP="00BD7A12">
      <w:pPr>
        <w:pStyle w:val="NoSpacing"/>
        <w:jc w:val="both"/>
        <w:rPr>
          <w:sz w:val="24"/>
          <w:lang w:eastAsia="bs-Latn-BA"/>
        </w:rPr>
      </w:pPr>
      <w:r w:rsidRPr="00FE26C7">
        <w:rPr>
          <w:rFonts w:ascii="Times New Roman" w:hAnsi="Times New Roman"/>
          <w:sz w:val="24"/>
          <w:szCs w:val="24"/>
        </w:rPr>
        <w:t xml:space="preserve">Pored pomenutih prihoda, planirani rashodi i izdaci se pokrivaju još i iz prenesenih viškova prihoda nad rashodima, a koja za plan 2020.godine iznose 3,474 mil.KM. Prema članu 94. Zakona o cestama, razlika javnih prihoda i javnih rashoda upravitelja javnih cesta predstavlja </w:t>
      </w:r>
      <w:r w:rsidRPr="00FE26C7">
        <w:rPr>
          <w:rFonts w:ascii="Times New Roman" w:hAnsi="Times New Roman"/>
          <w:sz w:val="24"/>
          <w:szCs w:val="24"/>
        </w:rPr>
        <w:lastRenderedPageBreak/>
        <w:t>finansijski rezultat koji je neoporeziv, a koji će se utrošiti isključivo za upravljanje, građenje, rekonstrukciju, održavanje i zaštitu javnih cesta. Za period 2021.-2023.godina je analogno 2020.godini planirano smanjenje ovih viškova prihoda nad rashodima na iznos od 0,922 mil. KM za 2021.godinu, 0,617 mil. KM za 2022.godinu te 0,208 mil.KM za 2023.godinu. Utrošak ovih sredstava će zavisiti između ostalog od uspješnosti izvršenja Plana i programa rada Direkcije i dinamike izvođenja radova na regionalnim cestama.</w:t>
      </w:r>
    </w:p>
    <w:p w:rsidR="00B12D0E" w:rsidRDefault="00B12D0E" w:rsidP="00F0423D">
      <w:pPr>
        <w:jc w:val="both"/>
        <w:rPr>
          <w:sz w:val="24"/>
          <w:lang w:val="bs-Latn-BA" w:eastAsia="bs-Latn-BA"/>
        </w:rPr>
      </w:pPr>
    </w:p>
    <w:p w:rsidR="00A02F89" w:rsidRDefault="00952625" w:rsidP="00F0423D">
      <w:pPr>
        <w:jc w:val="both"/>
      </w:pPr>
      <w:r w:rsidRPr="00E82256">
        <w:rPr>
          <w:sz w:val="24"/>
          <w:lang w:val="bs-Latn-BA" w:eastAsia="bs-Latn-BA"/>
        </w:rPr>
        <w:t xml:space="preserve">  </w:t>
      </w:r>
      <w:r w:rsidR="00A02F89">
        <w:t xml:space="preserve">                                                     </w:t>
      </w:r>
      <w:r w:rsidR="00A02F89" w:rsidRPr="00EF6CBA">
        <w:t>Tabela: Procjena budžeta po ekonomskoj klasifikaciji</w:t>
      </w:r>
    </w:p>
    <w:p w:rsidR="00BD7A12" w:rsidRDefault="00BD7A12" w:rsidP="00F0423D">
      <w:pPr>
        <w:jc w:val="both"/>
      </w:pPr>
    </w:p>
    <w:p w:rsidR="00BD7A12" w:rsidRPr="00EF6CBA" w:rsidRDefault="00400744" w:rsidP="00BD7A12">
      <w:pPr>
        <w:pStyle w:val="NoSpacing"/>
        <w:jc w:val="center"/>
        <w:rPr>
          <w:rFonts w:ascii="Times New Roman" w:hAnsi="Times New Roman"/>
        </w:rPr>
      </w:pPr>
      <w:r>
        <w:rPr>
          <w:noProof/>
          <w:lang w:val="hr-HR" w:eastAsia="hr-HR"/>
        </w:rPr>
        <w:drawing>
          <wp:inline distT="0" distB="0" distL="0" distR="0">
            <wp:extent cx="6115050" cy="38735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6115050" cy="3873500"/>
                    </a:xfrm>
                    <a:prstGeom prst="rect">
                      <a:avLst/>
                    </a:prstGeom>
                    <a:noFill/>
                    <a:ln w="9525">
                      <a:noFill/>
                      <a:miter lim="800000"/>
                      <a:headEnd/>
                      <a:tailEnd/>
                    </a:ln>
                  </pic:spPr>
                </pic:pic>
              </a:graphicData>
            </a:graphic>
          </wp:inline>
        </w:drawing>
      </w:r>
    </w:p>
    <w:p w:rsidR="00BD7A12" w:rsidRDefault="00BD7A12" w:rsidP="00BD7A12">
      <w:pPr>
        <w:pStyle w:val="NoSpacing"/>
        <w:jc w:val="center"/>
      </w:pPr>
    </w:p>
    <w:p w:rsidR="00BD7A12" w:rsidRDefault="00BD7A12" w:rsidP="00BD7A12">
      <w:pPr>
        <w:pStyle w:val="NoSpacing"/>
        <w:jc w:val="both"/>
        <w:rPr>
          <w:rFonts w:ascii="Times New Roman" w:hAnsi="Times New Roman"/>
        </w:rPr>
      </w:pPr>
      <w:r>
        <w:rPr>
          <w:rFonts w:ascii="Times New Roman" w:hAnsi="Times New Roman"/>
        </w:rPr>
        <w:t>Planirana sredstva za pokrivanje t</w:t>
      </w:r>
      <w:r w:rsidRPr="00EF6CBA">
        <w:rPr>
          <w:rFonts w:ascii="Times New Roman" w:hAnsi="Times New Roman"/>
        </w:rPr>
        <w:t>roškov</w:t>
      </w:r>
      <w:r>
        <w:rPr>
          <w:rFonts w:ascii="Times New Roman" w:hAnsi="Times New Roman"/>
        </w:rPr>
        <w:t>a</w:t>
      </w:r>
      <w:r w:rsidRPr="00EF6CBA">
        <w:rPr>
          <w:rFonts w:ascii="Times New Roman" w:hAnsi="Times New Roman"/>
        </w:rPr>
        <w:t xml:space="preserve"> plata, naknada i doprinosa </w:t>
      </w:r>
      <w:r>
        <w:rPr>
          <w:rFonts w:ascii="Times New Roman" w:hAnsi="Times New Roman"/>
        </w:rPr>
        <w:t xml:space="preserve">u 2020.godini iznose 0,926 mil.KM, za trenutno uposlena 23 radnika uključujući direktora, jednog radnika na određeno vrijeme i jednog pripravnika. Ovim iznosom je predviđeno i zapošljavanje dva radnika na neodređeno vrijeme i još dva pripravnika radi obavljanja pripravničkog staža u 2020.godini. Za naredne godine je planiran isti iznos za ove potrebe. </w:t>
      </w:r>
    </w:p>
    <w:p w:rsidR="00BD7A12" w:rsidRPr="00EF6CBA" w:rsidRDefault="00BD7A12" w:rsidP="00BD7A12">
      <w:pPr>
        <w:pStyle w:val="NoSpacing"/>
        <w:ind w:firstLine="708"/>
        <w:jc w:val="both"/>
        <w:rPr>
          <w:rFonts w:ascii="Times New Roman" w:hAnsi="Times New Roman"/>
        </w:rPr>
      </w:pPr>
    </w:p>
    <w:p w:rsidR="00BD7A12" w:rsidRDefault="00BD7A12" w:rsidP="00BD7A12">
      <w:pPr>
        <w:pStyle w:val="NoSpacing"/>
        <w:jc w:val="both"/>
        <w:rPr>
          <w:rFonts w:ascii="Times New Roman" w:hAnsi="Times New Roman"/>
        </w:rPr>
      </w:pPr>
      <w:r>
        <w:rPr>
          <w:rFonts w:ascii="Times New Roman" w:hAnsi="Times New Roman"/>
        </w:rPr>
        <w:t xml:space="preserve">Za izdatke za materijal i usluge je u 2020.godini planiran iznos iznosu od 2,845 mil.KM kojeg u najvećem dijelu čine </w:t>
      </w:r>
      <w:r w:rsidRPr="00EF6CBA">
        <w:rPr>
          <w:rFonts w:ascii="Times New Roman" w:hAnsi="Times New Roman"/>
        </w:rPr>
        <w:t xml:space="preserve">izdaci za radove redovnog održavanja regionalnih cesta i </w:t>
      </w:r>
      <w:r>
        <w:rPr>
          <w:rFonts w:ascii="Times New Roman" w:hAnsi="Times New Roman"/>
        </w:rPr>
        <w:t xml:space="preserve">obnavljanje horizontalne </w:t>
      </w:r>
      <w:r w:rsidRPr="00EF6CBA">
        <w:rPr>
          <w:rFonts w:ascii="Times New Roman" w:hAnsi="Times New Roman"/>
        </w:rPr>
        <w:t>saobraćajne signalizacije</w:t>
      </w:r>
      <w:r>
        <w:rPr>
          <w:rFonts w:ascii="Times New Roman" w:hAnsi="Times New Roman"/>
        </w:rPr>
        <w:t xml:space="preserve"> koji su za period 2021.-2023.godina planirani u iznosu od 3,113 mil.KM</w:t>
      </w:r>
      <w:r w:rsidRPr="00EF6CBA">
        <w:rPr>
          <w:rFonts w:ascii="Times New Roman" w:hAnsi="Times New Roman"/>
        </w:rPr>
        <w:t xml:space="preserve"> </w:t>
      </w:r>
      <w:r>
        <w:rPr>
          <w:rFonts w:ascii="Times New Roman" w:hAnsi="Times New Roman"/>
        </w:rPr>
        <w:t>n</w:t>
      </w:r>
      <w:r w:rsidRPr="00EF6CBA">
        <w:rPr>
          <w:rFonts w:ascii="Times New Roman" w:hAnsi="Times New Roman"/>
        </w:rPr>
        <w:t xml:space="preserve">a godišnjem nivou, čime se </w:t>
      </w:r>
      <w:r>
        <w:rPr>
          <w:rFonts w:ascii="Times New Roman" w:hAnsi="Times New Roman"/>
        </w:rPr>
        <w:t>obezbijeđuje</w:t>
      </w:r>
      <w:r w:rsidRPr="00EF6CBA">
        <w:rPr>
          <w:rFonts w:ascii="Times New Roman" w:hAnsi="Times New Roman"/>
        </w:rPr>
        <w:t xml:space="preserve"> zakonsk</w:t>
      </w:r>
      <w:r>
        <w:rPr>
          <w:rFonts w:ascii="Times New Roman" w:hAnsi="Times New Roman"/>
        </w:rPr>
        <w:t>a</w:t>
      </w:r>
      <w:r w:rsidRPr="00EF6CBA">
        <w:rPr>
          <w:rFonts w:ascii="Times New Roman" w:hAnsi="Times New Roman"/>
        </w:rPr>
        <w:t xml:space="preserve"> obavez</w:t>
      </w:r>
      <w:r>
        <w:rPr>
          <w:rFonts w:ascii="Times New Roman" w:hAnsi="Times New Roman"/>
        </w:rPr>
        <w:t>a</w:t>
      </w:r>
      <w:r w:rsidRPr="00EF6CBA">
        <w:rPr>
          <w:rFonts w:ascii="Times New Roman" w:hAnsi="Times New Roman"/>
        </w:rPr>
        <w:t xml:space="preserve"> Direkcije za </w:t>
      </w:r>
      <w:r>
        <w:rPr>
          <w:rFonts w:ascii="Times New Roman" w:hAnsi="Times New Roman"/>
        </w:rPr>
        <w:t>obezbijeđenjem kontinuiranog</w:t>
      </w:r>
      <w:r w:rsidRPr="00EF6CBA">
        <w:rPr>
          <w:rFonts w:ascii="Times New Roman" w:hAnsi="Times New Roman"/>
        </w:rPr>
        <w:t xml:space="preserve"> i </w:t>
      </w:r>
      <w:r>
        <w:rPr>
          <w:rFonts w:ascii="Times New Roman" w:hAnsi="Times New Roman"/>
        </w:rPr>
        <w:t>sigurnog</w:t>
      </w:r>
      <w:r w:rsidRPr="00EF6CBA">
        <w:rPr>
          <w:rFonts w:ascii="Times New Roman" w:hAnsi="Times New Roman"/>
        </w:rPr>
        <w:t xml:space="preserve"> odvijanj</w:t>
      </w:r>
      <w:r>
        <w:rPr>
          <w:rFonts w:ascii="Times New Roman" w:hAnsi="Times New Roman"/>
        </w:rPr>
        <w:t>a</w:t>
      </w:r>
      <w:r w:rsidRPr="00EF6CBA">
        <w:rPr>
          <w:rFonts w:ascii="Times New Roman" w:hAnsi="Times New Roman"/>
        </w:rPr>
        <w:t xml:space="preserve"> saobraćaja na regionalnim cestama USK. Ostatak sredstava se koristi za režijske i ostale troškove iz redovnog poslovanja Direkcije</w:t>
      </w:r>
      <w:r>
        <w:rPr>
          <w:rFonts w:ascii="Times New Roman" w:hAnsi="Times New Roman"/>
        </w:rPr>
        <w:t>, sudske sporove i naknade za članove Nadzornog odbora</w:t>
      </w:r>
      <w:r w:rsidRPr="00EF6CBA">
        <w:rPr>
          <w:rFonts w:ascii="Times New Roman" w:hAnsi="Times New Roman"/>
        </w:rPr>
        <w:t>.</w:t>
      </w:r>
    </w:p>
    <w:p w:rsidR="00BD7A12" w:rsidRDefault="00BD7A12" w:rsidP="00BD7A12">
      <w:pPr>
        <w:pStyle w:val="NoSpacing"/>
        <w:ind w:firstLine="708"/>
        <w:jc w:val="both"/>
        <w:rPr>
          <w:rFonts w:ascii="Times New Roman" w:hAnsi="Times New Roman"/>
        </w:rPr>
      </w:pPr>
      <w:r w:rsidRPr="00EF6CBA">
        <w:rPr>
          <w:rFonts w:ascii="Times New Roman" w:hAnsi="Times New Roman"/>
        </w:rPr>
        <w:t xml:space="preserve"> </w:t>
      </w:r>
    </w:p>
    <w:p w:rsidR="00BD7A12" w:rsidRDefault="00BD7A12" w:rsidP="00BD7A12">
      <w:pPr>
        <w:pStyle w:val="NoSpacing"/>
        <w:jc w:val="both"/>
        <w:rPr>
          <w:rFonts w:ascii="Times New Roman" w:hAnsi="Times New Roman"/>
        </w:rPr>
      </w:pPr>
      <w:r>
        <w:rPr>
          <w:rFonts w:ascii="Times New Roman" w:hAnsi="Times New Roman"/>
        </w:rPr>
        <w:t xml:space="preserve">Nakon što je u 2020.godini izvršeno 83% planiranih investicionih poslova, došlo je do smanjenja prenesih viškova prihoda nad rashodima za 4,263 mil.KM odnosno iznos prenesnih sredstava u 2020.godini je 3,474 mil.KM što zajedno sa planiranim prihodima čini ukupno 12.375 mil.KM ukupnih raspoloživih sredstava. </w:t>
      </w:r>
    </w:p>
    <w:p w:rsidR="00BD7A12" w:rsidRPr="00EF6CBA" w:rsidRDefault="00BD7A12" w:rsidP="00BD7A12">
      <w:pPr>
        <w:pStyle w:val="NoSpacing"/>
        <w:jc w:val="both"/>
        <w:rPr>
          <w:rFonts w:ascii="Times New Roman" w:hAnsi="Times New Roman"/>
        </w:rPr>
      </w:pPr>
      <w:r>
        <w:rPr>
          <w:rFonts w:ascii="Times New Roman" w:hAnsi="Times New Roman"/>
        </w:rPr>
        <w:t xml:space="preserve">Shodno tome, u fokusu rada Direkcije u 2020.godini će biti intenziviranje završetka radova rekonstrukcije i investicionog održavanja cesta po potpisanim ugovorima ali i zaključivanje i izvođenje radova po novim </w:t>
      </w:r>
      <w:r>
        <w:rPr>
          <w:rFonts w:ascii="Times New Roman" w:hAnsi="Times New Roman"/>
        </w:rPr>
        <w:lastRenderedPageBreak/>
        <w:t>ugovorima, što bi trebalo dovesti do veće potrošnje i dodatnog smanjenja iznosa prenesenih sredstva nagomilanih u ranijem periodu. Pod pretpostavkom da će se najveći dio planiranih radova završiti u 2020.godini, procjena je da će u 2021.godinu iznos prenesenih sredstava biti znatno manji tako da je planiran iznos kapitalnih izdataka u 2021. i 2022.godini od 4,958 mil.KM, odnosno 4,658 mil.KM za 2023.godinu zbog planiranog smanjenja viška prihoda nad rashodima.</w:t>
      </w:r>
    </w:p>
    <w:p w:rsidR="00917C6C" w:rsidRPr="00EF40C4" w:rsidRDefault="00374A9F" w:rsidP="00917C6C">
      <w:pPr>
        <w:jc w:val="both"/>
        <w:rPr>
          <w:sz w:val="24"/>
          <w:szCs w:val="24"/>
        </w:rPr>
      </w:pPr>
      <w:r>
        <w:rPr>
          <w:sz w:val="24"/>
          <w:szCs w:val="24"/>
        </w:rPr>
        <w:t>M</w:t>
      </w:r>
      <w:r w:rsidR="00917C6C" w:rsidRPr="00EF40C4">
        <w:rPr>
          <w:sz w:val="24"/>
          <w:szCs w:val="24"/>
        </w:rPr>
        <w:t>išljenja smo  da će se uz maksimalnu angažovanost  Direkcije i uz podršku Ministarstva privrede, Ministarstva za građenje, prostorno uređenje i zaštitu okoline i Vlade Unsko – sanskog kantona  riješiti  problemi vezani za primjenu Odluke o kategorizaciji cesta u autoceste i brze ceste, magistralne ceste i regionalne ceste (''Službene novine F BiH'', broj 24/14 i 95/14) koja otpočinje sa primjenom 15.03.2018. godine.</w:t>
      </w:r>
    </w:p>
    <w:p w:rsidR="00917C6C" w:rsidRPr="00EF40C4" w:rsidRDefault="00917C6C" w:rsidP="00917C6C">
      <w:pPr>
        <w:jc w:val="both"/>
        <w:rPr>
          <w:sz w:val="24"/>
          <w:szCs w:val="24"/>
        </w:rPr>
      </w:pPr>
      <w:r w:rsidRPr="00EF40C4">
        <w:rPr>
          <w:sz w:val="24"/>
          <w:szCs w:val="24"/>
        </w:rPr>
        <w:t>Primjena cit.</w:t>
      </w:r>
      <w:r>
        <w:rPr>
          <w:sz w:val="24"/>
          <w:szCs w:val="24"/>
        </w:rPr>
        <w:t xml:space="preserve"> </w:t>
      </w:r>
      <w:r w:rsidRPr="00EF40C4">
        <w:rPr>
          <w:sz w:val="24"/>
          <w:szCs w:val="24"/>
        </w:rPr>
        <w:t xml:space="preserve">Odluke omogućit će ovoj Direkciji realno planiranje i donošenje planskih dokumenata: </w:t>
      </w:r>
    </w:p>
    <w:p w:rsidR="00917C6C" w:rsidRPr="00EF40C4" w:rsidRDefault="00917C6C" w:rsidP="00887C88">
      <w:pPr>
        <w:numPr>
          <w:ilvl w:val="0"/>
          <w:numId w:val="15"/>
        </w:numPr>
        <w:jc w:val="both"/>
        <w:rPr>
          <w:sz w:val="24"/>
          <w:szCs w:val="24"/>
        </w:rPr>
      </w:pPr>
      <w:r w:rsidRPr="00EF40C4">
        <w:rPr>
          <w:sz w:val="24"/>
          <w:szCs w:val="24"/>
        </w:rPr>
        <w:t>Strategiju razvoja i održavanja cesta  na period od 10 godina,</w:t>
      </w:r>
    </w:p>
    <w:p w:rsidR="00917C6C" w:rsidRPr="00EF40C4" w:rsidRDefault="00917C6C" w:rsidP="00887C88">
      <w:pPr>
        <w:numPr>
          <w:ilvl w:val="0"/>
          <w:numId w:val="15"/>
        </w:numPr>
        <w:jc w:val="both"/>
        <w:rPr>
          <w:sz w:val="24"/>
          <w:szCs w:val="24"/>
        </w:rPr>
      </w:pPr>
      <w:r w:rsidRPr="00EF40C4">
        <w:rPr>
          <w:sz w:val="24"/>
          <w:szCs w:val="24"/>
        </w:rPr>
        <w:t>Srednjoročni program održavanja i zaštite cesta, kao i program rekonstrukcije, izgradnje i obnove cesta  na period od 4 godine, te precizniju izradu Dokumenta okvirnog b</w:t>
      </w:r>
      <w:r>
        <w:rPr>
          <w:sz w:val="24"/>
          <w:szCs w:val="24"/>
        </w:rPr>
        <w:t xml:space="preserve">udžeta (DOB) u narednom </w:t>
      </w:r>
      <w:r w:rsidR="00374A9F">
        <w:rPr>
          <w:sz w:val="24"/>
          <w:szCs w:val="24"/>
        </w:rPr>
        <w:t>period.</w:t>
      </w:r>
    </w:p>
    <w:p w:rsidR="00BE678E" w:rsidRDefault="00BE678E" w:rsidP="00F76A22">
      <w:pPr>
        <w:pStyle w:val="BodyText2Char"/>
        <w:autoSpaceDE w:val="0"/>
        <w:autoSpaceDN w:val="0"/>
        <w:adjustRightInd w:val="0"/>
        <w:jc w:val="both"/>
      </w:pPr>
    </w:p>
    <w:p w:rsidR="00F76A22" w:rsidRPr="00171542" w:rsidRDefault="00171542" w:rsidP="00374A9F">
      <w:pPr>
        <w:pStyle w:val="Heading1"/>
        <w:rPr>
          <w:sz w:val="28"/>
          <w:szCs w:val="28"/>
        </w:rPr>
      </w:pPr>
      <w:r w:rsidRPr="00171542">
        <w:rPr>
          <w:sz w:val="28"/>
          <w:szCs w:val="28"/>
        </w:rPr>
        <w:t>3.</w:t>
      </w:r>
      <w:r w:rsidR="00F76A22" w:rsidRPr="00171542">
        <w:rPr>
          <w:sz w:val="28"/>
          <w:szCs w:val="28"/>
        </w:rPr>
        <w:t>Struktura potrošnje u javnom sektoru ( Politika rashoda Unsko – sanskog kantona )</w:t>
      </w:r>
    </w:p>
    <w:p w:rsidR="00F76A22" w:rsidRDefault="00F76A22" w:rsidP="00F76A22">
      <w:pPr>
        <w:jc w:val="both"/>
        <w:rPr>
          <w:sz w:val="24"/>
          <w:szCs w:val="24"/>
          <w:lang w:val="hr-HR"/>
        </w:rPr>
      </w:pPr>
      <w:r>
        <w:rPr>
          <w:sz w:val="24"/>
          <w:szCs w:val="24"/>
          <w:lang w:val="hr-HR"/>
        </w:rPr>
        <w:t>Planiranje rashoda i izdataka u budžetu Unsko – sanskog kantona i finansijskim planovima vanbudžetskih fondova za naredne tri godine vršit će se u skladu sa odredbama Zakona o budžetima u Federaciji BiH, kao i Zakona o izvršavanja budžeta za godinu za koju se odnosi budžet te drugih zakona kojima su utvrđena određena prava i obaveze budžetskih korisnika.</w:t>
      </w:r>
    </w:p>
    <w:p w:rsidR="00F76A22" w:rsidRDefault="00F76A22" w:rsidP="00F76A22">
      <w:pPr>
        <w:jc w:val="both"/>
        <w:rPr>
          <w:sz w:val="24"/>
          <w:szCs w:val="24"/>
          <w:lang w:val="hr-HR"/>
        </w:rPr>
      </w:pPr>
      <w:r>
        <w:rPr>
          <w:sz w:val="24"/>
          <w:szCs w:val="24"/>
          <w:lang w:val="hr-HR"/>
        </w:rPr>
        <w:tab/>
      </w:r>
      <w:r w:rsidRPr="003B56EB">
        <w:rPr>
          <w:sz w:val="24"/>
          <w:szCs w:val="24"/>
          <w:lang w:val="hr-HR"/>
        </w:rPr>
        <w:t xml:space="preserve">  Zakonom</w:t>
      </w:r>
      <w:r>
        <w:rPr>
          <w:sz w:val="24"/>
          <w:szCs w:val="24"/>
          <w:lang w:val="hr-HR"/>
        </w:rPr>
        <w:t xml:space="preserve"> o plaćama i naknadama u organima vlasti Unsko-sanskog kantona utvrđeni su kojeficijenti  po platnim razredima za državne službenike i namještenike. Osnovica za obračun plaće donosi se na usaglašen prijedlog sidikata i organa vlasti koja će ovisiti od </w:t>
      </w:r>
      <w:r w:rsidRPr="000B1BCB">
        <w:rPr>
          <w:i/>
          <w:sz w:val="24"/>
          <w:szCs w:val="24"/>
          <w:lang w:val="hr-HR"/>
        </w:rPr>
        <w:t>mase</w:t>
      </w:r>
      <w:r>
        <w:rPr>
          <w:sz w:val="24"/>
          <w:szCs w:val="24"/>
          <w:lang w:val="hr-HR"/>
        </w:rPr>
        <w:t xml:space="preserve"> raspoloživih sredstava u budžetu.</w:t>
      </w:r>
    </w:p>
    <w:p w:rsidR="00F76A22" w:rsidRDefault="00F76A22" w:rsidP="00F76A22">
      <w:pPr>
        <w:jc w:val="both"/>
        <w:rPr>
          <w:sz w:val="24"/>
          <w:szCs w:val="24"/>
          <w:lang w:val="hr-HR"/>
        </w:rPr>
      </w:pPr>
      <w:r>
        <w:rPr>
          <w:sz w:val="24"/>
          <w:szCs w:val="24"/>
          <w:lang w:val="hr-HR"/>
        </w:rPr>
        <w:t>U cilju jačanja fiskalne održivosti svih nivoa vlasti izmjenjen je Zakon o budžetima u Federaciji BiH, na osnovu kojeg je donesen Pravilnik o proceduri izrade izjave o fiskalnoj procjeni zakona, drugih propisa i akata planiranja na budžet ( „ Službene novine Federacije BiH“, broj:</w:t>
      </w:r>
      <w:r w:rsidR="00E643F7">
        <w:rPr>
          <w:sz w:val="24"/>
          <w:szCs w:val="24"/>
          <w:lang w:val="hr-HR"/>
        </w:rPr>
        <w:t xml:space="preserve"> </w:t>
      </w:r>
      <w:r>
        <w:rPr>
          <w:sz w:val="24"/>
          <w:szCs w:val="24"/>
          <w:lang w:val="hr-HR"/>
        </w:rPr>
        <w:t>34/16</w:t>
      </w:r>
      <w:r w:rsidR="00E643F7">
        <w:rPr>
          <w:sz w:val="24"/>
          <w:szCs w:val="24"/>
          <w:lang w:val="hr-HR"/>
        </w:rPr>
        <w:t xml:space="preserve"> i 15/18</w:t>
      </w:r>
      <w:r>
        <w:rPr>
          <w:sz w:val="24"/>
          <w:szCs w:val="24"/>
          <w:lang w:val="hr-HR"/>
        </w:rPr>
        <w:t xml:space="preserve"> ).</w:t>
      </w:r>
    </w:p>
    <w:p w:rsidR="00F76A22" w:rsidRDefault="00F76A22" w:rsidP="00F76A22">
      <w:pPr>
        <w:jc w:val="both"/>
        <w:rPr>
          <w:sz w:val="24"/>
          <w:szCs w:val="24"/>
          <w:lang w:val="hr-HR"/>
        </w:rPr>
      </w:pPr>
    </w:p>
    <w:p w:rsidR="00F76A22" w:rsidRDefault="00F76A22" w:rsidP="00F76A22">
      <w:pPr>
        <w:jc w:val="both"/>
        <w:rPr>
          <w:b/>
          <w:sz w:val="24"/>
          <w:szCs w:val="24"/>
          <w:u w:val="single"/>
          <w:lang w:val="hr-HR"/>
        </w:rPr>
      </w:pPr>
      <w:r>
        <w:rPr>
          <w:sz w:val="24"/>
          <w:szCs w:val="24"/>
          <w:lang w:val="hr-HR"/>
        </w:rPr>
        <w:t xml:space="preserve"> </w:t>
      </w:r>
      <w:r w:rsidRPr="008C3F86">
        <w:rPr>
          <w:b/>
          <w:sz w:val="24"/>
          <w:szCs w:val="24"/>
          <w:u w:val="single"/>
          <w:lang w:val="hr-HR"/>
        </w:rPr>
        <w:t>Izjava mora obuhvatati:</w:t>
      </w:r>
    </w:p>
    <w:p w:rsidR="00F76A22" w:rsidRPr="008C3F86" w:rsidRDefault="00F76A22" w:rsidP="00F76A22">
      <w:pPr>
        <w:jc w:val="both"/>
        <w:rPr>
          <w:b/>
          <w:sz w:val="24"/>
          <w:szCs w:val="24"/>
          <w:u w:val="single"/>
          <w:lang w:val="hr-HR"/>
        </w:rPr>
      </w:pPr>
    </w:p>
    <w:p w:rsidR="00F76A22" w:rsidRDefault="00F76A22" w:rsidP="00F76A22">
      <w:pPr>
        <w:jc w:val="both"/>
        <w:rPr>
          <w:sz w:val="24"/>
          <w:szCs w:val="24"/>
          <w:lang w:val="hr-HR"/>
        </w:rPr>
      </w:pPr>
      <w:r>
        <w:rPr>
          <w:sz w:val="24"/>
          <w:szCs w:val="24"/>
          <w:lang w:val="hr-HR"/>
        </w:rPr>
        <w:t>-  predviđene prihode i rashode,te primitke i izdatke za budžetsku i dvije naredne godine,</w:t>
      </w:r>
    </w:p>
    <w:p w:rsidR="00F76A22" w:rsidRDefault="00F76A22" w:rsidP="00F76A22">
      <w:pPr>
        <w:jc w:val="both"/>
        <w:rPr>
          <w:sz w:val="24"/>
          <w:szCs w:val="24"/>
          <w:lang w:val="hr-HR"/>
        </w:rPr>
      </w:pPr>
      <w:r>
        <w:rPr>
          <w:sz w:val="24"/>
          <w:szCs w:val="24"/>
          <w:lang w:val="hr-HR"/>
        </w:rPr>
        <w:t>-  prijedloge za pokrivanje povećanih rashoda i izdataka,</w:t>
      </w:r>
    </w:p>
    <w:p w:rsidR="00F76A22" w:rsidRDefault="00F76A22" w:rsidP="00F76A22">
      <w:pPr>
        <w:jc w:val="both"/>
        <w:rPr>
          <w:sz w:val="24"/>
          <w:szCs w:val="24"/>
          <w:lang w:val="hr-HR"/>
        </w:rPr>
      </w:pPr>
      <w:r>
        <w:rPr>
          <w:sz w:val="24"/>
          <w:szCs w:val="24"/>
          <w:lang w:val="hr-HR"/>
        </w:rPr>
        <w:t>-  prijedloge za pokrivanje smanjenih prihoda i primitaka,</w:t>
      </w:r>
    </w:p>
    <w:p w:rsidR="00F76A22" w:rsidRDefault="00F76A22" w:rsidP="00F76A22">
      <w:pPr>
        <w:jc w:val="both"/>
        <w:rPr>
          <w:sz w:val="24"/>
          <w:szCs w:val="24"/>
          <w:lang w:val="hr-HR"/>
        </w:rPr>
      </w:pPr>
      <w:r>
        <w:rPr>
          <w:sz w:val="24"/>
          <w:szCs w:val="24"/>
          <w:lang w:val="hr-HR"/>
        </w:rPr>
        <w:t xml:space="preserve">-  mišljenje ministarstva finansija. </w:t>
      </w:r>
    </w:p>
    <w:p w:rsidR="00F76A22" w:rsidRDefault="00F76A22" w:rsidP="00F76A22">
      <w:pPr>
        <w:jc w:val="both"/>
        <w:rPr>
          <w:sz w:val="24"/>
          <w:szCs w:val="24"/>
          <w:lang w:val="hr-HR"/>
        </w:rPr>
      </w:pPr>
      <w:r>
        <w:rPr>
          <w:sz w:val="24"/>
          <w:szCs w:val="24"/>
          <w:lang w:val="hr-HR"/>
        </w:rPr>
        <w:tab/>
        <w:t xml:space="preserve">  Trenutno su u javnoj raspravi nacrti zakona čija primjena ne bi bila fiskalno održiva za kantone, te prije utvrđivanja prijedloga istih treba usaglasiti nadležnosti pojedinih nivoa vlasti sa formulom za raspojelu javnih prihoda u Federaciji BiH.</w:t>
      </w:r>
    </w:p>
    <w:p w:rsidR="00171542" w:rsidRDefault="00171542" w:rsidP="00F76A22">
      <w:pPr>
        <w:jc w:val="both"/>
        <w:rPr>
          <w:sz w:val="24"/>
          <w:szCs w:val="24"/>
          <w:lang w:val="hr-HR"/>
        </w:rPr>
      </w:pPr>
    </w:p>
    <w:p w:rsidR="00F76A22" w:rsidRPr="006C3D19" w:rsidRDefault="00F76A22" w:rsidP="00F76A22">
      <w:pPr>
        <w:rPr>
          <w:i/>
          <w:sz w:val="24"/>
          <w:szCs w:val="24"/>
          <w:lang w:val="hr-HR"/>
        </w:rPr>
      </w:pPr>
      <w:r>
        <w:rPr>
          <w:sz w:val="24"/>
          <w:szCs w:val="24"/>
          <w:lang w:val="hr-HR"/>
        </w:rPr>
        <w:tab/>
      </w:r>
      <w:r w:rsidRPr="006C3D19">
        <w:rPr>
          <w:i/>
          <w:sz w:val="24"/>
          <w:szCs w:val="24"/>
          <w:lang w:val="hr-HR"/>
        </w:rPr>
        <w:t>Fiskalne mogućnost kantona obrazložene su u poglavlju 2. ovog dokumenta.  Zbog svega naprijed navedenog</w:t>
      </w:r>
      <w:r w:rsidR="006975F6">
        <w:rPr>
          <w:i/>
          <w:sz w:val="24"/>
          <w:szCs w:val="24"/>
          <w:lang w:val="hr-HR"/>
        </w:rPr>
        <w:t>,</w:t>
      </w:r>
      <w:r w:rsidRPr="006C3D19">
        <w:rPr>
          <w:i/>
          <w:sz w:val="24"/>
          <w:szCs w:val="24"/>
          <w:lang w:val="hr-HR"/>
        </w:rPr>
        <w:t xml:space="preserve">  a da bi se postigla fiskalna održivost potrebno je u budućem srednjoroćnom razdoblju izvršiti reformu administrativnog sektora, obrazovanja i zdravstva sa ciljem racionalizacije i povećanja efikasnosti</w:t>
      </w:r>
      <w:r w:rsidR="006975F6">
        <w:rPr>
          <w:i/>
          <w:sz w:val="24"/>
          <w:szCs w:val="24"/>
          <w:lang w:val="hr-HR"/>
        </w:rPr>
        <w:t>.</w:t>
      </w:r>
      <w:r w:rsidRPr="006C3D19">
        <w:rPr>
          <w:i/>
          <w:sz w:val="24"/>
          <w:szCs w:val="24"/>
          <w:lang w:val="hr-HR"/>
        </w:rPr>
        <w:t xml:space="preserve"> </w:t>
      </w:r>
    </w:p>
    <w:p w:rsidR="00F76A22" w:rsidRDefault="00F76A22" w:rsidP="00F76A22">
      <w:pPr>
        <w:jc w:val="both"/>
        <w:rPr>
          <w:sz w:val="24"/>
          <w:szCs w:val="24"/>
          <w:lang w:val="hr-HR"/>
        </w:rPr>
      </w:pPr>
      <w:r>
        <w:rPr>
          <w:sz w:val="24"/>
          <w:szCs w:val="24"/>
          <w:lang w:val="hr-HR"/>
        </w:rPr>
        <w:tab/>
        <w:t xml:space="preserve">Prilikom planiranja rashodovne strane budžeta treba uzeti u obzir prenos neizmirenih obaveza iz prethodnih godina koje opterečuju likvidnost tekuće godine zbog nemogućnosti </w:t>
      </w:r>
      <w:r>
        <w:rPr>
          <w:sz w:val="24"/>
          <w:szCs w:val="24"/>
          <w:lang w:val="hr-HR"/>
        </w:rPr>
        <w:lastRenderedPageBreak/>
        <w:t xml:space="preserve">izmirenja obaveza u cjelosti u tekućoj godini ili neimplementiranja planiranih projekata pogotovo iz namjenskih sredstava. S druge strane budžetsku likvidnost ugrožavaju i sudske izvršne odluke koje iznose cca. </w:t>
      </w:r>
      <w:r w:rsidR="001441BA">
        <w:rPr>
          <w:sz w:val="24"/>
          <w:szCs w:val="24"/>
          <w:lang w:val="hr-HR"/>
        </w:rPr>
        <w:t>82</w:t>
      </w:r>
      <w:r>
        <w:rPr>
          <w:sz w:val="24"/>
          <w:szCs w:val="24"/>
          <w:lang w:val="hr-HR"/>
        </w:rPr>
        <w:t>,</w:t>
      </w:r>
      <w:r w:rsidR="001441BA">
        <w:rPr>
          <w:sz w:val="24"/>
          <w:szCs w:val="24"/>
          <w:lang w:val="hr-HR"/>
        </w:rPr>
        <w:t>84</w:t>
      </w:r>
      <w:r>
        <w:rPr>
          <w:sz w:val="24"/>
          <w:szCs w:val="24"/>
          <w:lang w:val="hr-HR"/>
        </w:rPr>
        <w:t xml:space="preserve"> </w:t>
      </w:r>
      <w:r w:rsidRPr="00001BAA">
        <w:rPr>
          <w:sz w:val="24"/>
          <w:szCs w:val="24"/>
          <w:lang w:val="hr-HR"/>
        </w:rPr>
        <w:t xml:space="preserve"> mil</w:t>
      </w:r>
      <w:r>
        <w:rPr>
          <w:sz w:val="24"/>
          <w:szCs w:val="24"/>
          <w:lang w:val="hr-HR"/>
        </w:rPr>
        <w:t>.</w:t>
      </w:r>
      <w:r w:rsidRPr="00001BAA">
        <w:rPr>
          <w:sz w:val="24"/>
          <w:szCs w:val="24"/>
          <w:lang w:val="hr-HR"/>
        </w:rPr>
        <w:t xml:space="preserve"> KM (u momentu</w:t>
      </w:r>
      <w:r>
        <w:rPr>
          <w:sz w:val="24"/>
          <w:szCs w:val="24"/>
          <w:lang w:val="hr-HR"/>
        </w:rPr>
        <w:t xml:space="preserve"> pisanja ovog dokumenta), i to bez kamate i troškova spora. </w:t>
      </w:r>
      <w:r w:rsidR="00171542">
        <w:rPr>
          <w:sz w:val="24"/>
          <w:szCs w:val="24"/>
          <w:lang w:val="hr-HR"/>
        </w:rPr>
        <w:t xml:space="preserve">Vlada kantona je usvojila akcioni plan za izmirenje ovih obaveza </w:t>
      </w:r>
      <w:r w:rsidR="003A38D1">
        <w:rPr>
          <w:sz w:val="24"/>
          <w:szCs w:val="24"/>
          <w:lang w:val="hr-HR"/>
        </w:rPr>
        <w:t>u periodu od 20                (dvadeset godina).</w:t>
      </w:r>
    </w:p>
    <w:bookmarkEnd w:id="74"/>
    <w:bookmarkEnd w:id="75"/>
    <w:p w:rsidR="009B0DDA" w:rsidRDefault="009B0DDA" w:rsidP="006A544D">
      <w:pPr>
        <w:jc w:val="both"/>
        <w:rPr>
          <w:sz w:val="24"/>
          <w:szCs w:val="24"/>
          <w:lang w:val="hr-HR"/>
        </w:rPr>
      </w:pPr>
      <w:r>
        <w:rPr>
          <w:sz w:val="24"/>
          <w:szCs w:val="24"/>
          <w:lang w:val="hr-HR"/>
        </w:rPr>
        <w:t>K</w:t>
      </w:r>
      <w:r w:rsidRPr="009B0DDA">
        <w:rPr>
          <w:sz w:val="24"/>
          <w:szCs w:val="24"/>
          <w:lang w:val="hr-HR"/>
        </w:rPr>
        <w:t>olektivni</w:t>
      </w:r>
      <w:r>
        <w:rPr>
          <w:sz w:val="24"/>
          <w:szCs w:val="24"/>
          <w:lang w:val="hr-HR"/>
        </w:rPr>
        <w:t>m</w:t>
      </w:r>
      <w:r w:rsidRPr="009B0DDA">
        <w:rPr>
          <w:sz w:val="24"/>
          <w:szCs w:val="24"/>
          <w:lang w:val="hr-HR"/>
        </w:rPr>
        <w:t xml:space="preserve"> ugovor</w:t>
      </w:r>
      <w:r>
        <w:rPr>
          <w:sz w:val="24"/>
          <w:szCs w:val="24"/>
          <w:lang w:val="hr-HR"/>
        </w:rPr>
        <w:t xml:space="preserve"> </w:t>
      </w:r>
      <w:r w:rsidRPr="009B0DDA">
        <w:rPr>
          <w:sz w:val="24"/>
          <w:szCs w:val="24"/>
          <w:lang w:val="hr-HR"/>
        </w:rPr>
        <w:t>za službenike organa uprave i sudske vlasti</w:t>
      </w:r>
      <w:r>
        <w:rPr>
          <w:sz w:val="24"/>
          <w:szCs w:val="24"/>
          <w:lang w:val="hr-HR"/>
        </w:rPr>
        <w:t xml:space="preserve"> </w:t>
      </w:r>
      <w:r w:rsidRPr="009B0DDA">
        <w:rPr>
          <w:sz w:val="24"/>
          <w:szCs w:val="24"/>
          <w:lang w:val="hr-HR"/>
        </w:rPr>
        <w:t xml:space="preserve">u </w:t>
      </w:r>
      <w:r>
        <w:rPr>
          <w:sz w:val="24"/>
          <w:szCs w:val="24"/>
          <w:lang w:val="hr-HR"/>
        </w:rPr>
        <w:t>F</w:t>
      </w:r>
      <w:r w:rsidRPr="009B0DDA">
        <w:rPr>
          <w:sz w:val="24"/>
          <w:szCs w:val="24"/>
          <w:lang w:val="hr-HR"/>
        </w:rPr>
        <w:t xml:space="preserve">ederaciji </w:t>
      </w:r>
      <w:r>
        <w:rPr>
          <w:sz w:val="24"/>
          <w:szCs w:val="24"/>
          <w:lang w:val="hr-HR"/>
        </w:rPr>
        <w:t>B</w:t>
      </w:r>
      <w:r w:rsidRPr="009B0DDA">
        <w:rPr>
          <w:sz w:val="24"/>
          <w:szCs w:val="24"/>
          <w:lang w:val="hr-HR"/>
        </w:rPr>
        <w:t xml:space="preserve">osne i </w:t>
      </w:r>
      <w:r>
        <w:rPr>
          <w:sz w:val="24"/>
          <w:szCs w:val="24"/>
          <w:lang w:val="hr-HR"/>
        </w:rPr>
        <w:t>H</w:t>
      </w:r>
      <w:r w:rsidRPr="009B0DDA">
        <w:rPr>
          <w:sz w:val="24"/>
          <w:szCs w:val="24"/>
          <w:lang w:val="hr-HR"/>
        </w:rPr>
        <w:t>ercegovine</w:t>
      </w:r>
      <w:r>
        <w:rPr>
          <w:sz w:val="24"/>
          <w:szCs w:val="24"/>
          <w:lang w:val="hr-HR"/>
        </w:rPr>
        <w:t xml:space="preserve"> utvrđuju se prava i obaveze </w:t>
      </w:r>
      <w:r w:rsidRPr="009B0DDA">
        <w:rPr>
          <w:sz w:val="24"/>
          <w:szCs w:val="24"/>
        </w:rPr>
        <w:t xml:space="preserve">iz rada i po osnovu rada na koje se primjenjuju propisi o radnim odnosima, plaćama i drugim naknadama državnih službenika i namještenika u </w:t>
      </w:r>
      <w:r>
        <w:rPr>
          <w:sz w:val="24"/>
          <w:szCs w:val="24"/>
        </w:rPr>
        <w:t>organima državne službe na teritoriji Federacije BiH.</w:t>
      </w:r>
    </w:p>
    <w:p w:rsidR="007C6DED" w:rsidRDefault="007C6DED" w:rsidP="006A544D">
      <w:pPr>
        <w:jc w:val="both"/>
        <w:rPr>
          <w:sz w:val="24"/>
          <w:szCs w:val="24"/>
          <w:lang w:val="hr-HR"/>
        </w:rPr>
      </w:pPr>
      <w:r>
        <w:rPr>
          <w:sz w:val="24"/>
          <w:szCs w:val="24"/>
          <w:lang w:val="hr-HR"/>
        </w:rPr>
        <w:tab/>
        <w:t xml:space="preserve">Za ostale sektore ( policija i obrazovanje) treba pripremiti nova zakonska rješenja, u skladu sa raspoloživim sredstvima, uz istovremenu izmjenu postojećih kolektivnih ugovora. </w:t>
      </w:r>
    </w:p>
    <w:p w:rsidR="000D6FD9" w:rsidRDefault="00C82F50" w:rsidP="008D1C84">
      <w:pPr>
        <w:rPr>
          <w:sz w:val="24"/>
          <w:szCs w:val="24"/>
          <w:lang w:val="hr-HR"/>
        </w:rPr>
      </w:pPr>
      <w:r>
        <w:rPr>
          <w:sz w:val="24"/>
          <w:szCs w:val="24"/>
          <w:lang w:val="hr-HR"/>
        </w:rPr>
        <w:tab/>
      </w:r>
      <w:r w:rsidR="00683446">
        <w:rPr>
          <w:sz w:val="24"/>
          <w:szCs w:val="24"/>
          <w:lang w:val="hr-HR"/>
        </w:rPr>
        <w:t>Fiskalne mogućnost kantona obrazložene su u poglavlju 2. ovog dokumenta.</w:t>
      </w:r>
      <w:r w:rsidR="007D2BAE">
        <w:rPr>
          <w:sz w:val="24"/>
          <w:szCs w:val="24"/>
          <w:lang w:val="hr-HR"/>
        </w:rPr>
        <w:t xml:space="preserve"> </w:t>
      </w:r>
      <w:r w:rsidR="00683446">
        <w:rPr>
          <w:sz w:val="24"/>
          <w:szCs w:val="24"/>
          <w:lang w:val="hr-HR"/>
        </w:rPr>
        <w:t xml:space="preserve"> </w:t>
      </w:r>
      <w:r>
        <w:rPr>
          <w:sz w:val="24"/>
          <w:szCs w:val="24"/>
          <w:lang w:val="hr-HR"/>
        </w:rPr>
        <w:t xml:space="preserve">Zbog svega naprijed navedenog </w:t>
      </w:r>
      <w:r w:rsidR="007D2BAE">
        <w:rPr>
          <w:sz w:val="24"/>
          <w:szCs w:val="24"/>
          <w:lang w:val="hr-HR"/>
        </w:rPr>
        <w:t xml:space="preserve"> </w:t>
      </w:r>
      <w:r w:rsidR="005E7B54">
        <w:rPr>
          <w:sz w:val="24"/>
          <w:szCs w:val="24"/>
          <w:lang w:val="hr-HR"/>
        </w:rPr>
        <w:t>a da bi se postigla fiskalna održivost</w:t>
      </w:r>
      <w:r w:rsidR="00683446">
        <w:rPr>
          <w:sz w:val="24"/>
          <w:szCs w:val="24"/>
          <w:lang w:val="hr-HR"/>
        </w:rPr>
        <w:t xml:space="preserve"> </w:t>
      </w:r>
      <w:r w:rsidR="005E7B54">
        <w:rPr>
          <w:sz w:val="24"/>
          <w:szCs w:val="24"/>
          <w:lang w:val="hr-HR"/>
        </w:rPr>
        <w:t xml:space="preserve">potrebno je </w:t>
      </w:r>
      <w:r>
        <w:rPr>
          <w:sz w:val="24"/>
          <w:szCs w:val="24"/>
          <w:lang w:val="hr-HR"/>
        </w:rPr>
        <w:t>u buduće</w:t>
      </w:r>
      <w:r w:rsidR="005E7B54">
        <w:rPr>
          <w:sz w:val="24"/>
          <w:szCs w:val="24"/>
          <w:lang w:val="hr-HR"/>
        </w:rPr>
        <w:t>m</w:t>
      </w:r>
      <w:r>
        <w:rPr>
          <w:sz w:val="24"/>
          <w:szCs w:val="24"/>
          <w:lang w:val="hr-HR"/>
        </w:rPr>
        <w:t xml:space="preserve"> srednjoroćno</w:t>
      </w:r>
      <w:r w:rsidR="005E7B54">
        <w:rPr>
          <w:sz w:val="24"/>
          <w:szCs w:val="24"/>
          <w:lang w:val="hr-HR"/>
        </w:rPr>
        <w:t>m</w:t>
      </w:r>
      <w:r>
        <w:rPr>
          <w:sz w:val="24"/>
          <w:szCs w:val="24"/>
          <w:lang w:val="hr-HR"/>
        </w:rPr>
        <w:t xml:space="preserve"> ra</w:t>
      </w:r>
      <w:r w:rsidR="00BA7C64">
        <w:rPr>
          <w:sz w:val="24"/>
          <w:szCs w:val="24"/>
          <w:lang w:val="hr-HR"/>
        </w:rPr>
        <w:t>zdoblj</w:t>
      </w:r>
      <w:r w:rsidR="005E7B54">
        <w:rPr>
          <w:sz w:val="24"/>
          <w:szCs w:val="24"/>
          <w:lang w:val="hr-HR"/>
        </w:rPr>
        <w:t>u</w:t>
      </w:r>
      <w:r w:rsidR="008D1C84">
        <w:rPr>
          <w:sz w:val="24"/>
          <w:szCs w:val="24"/>
          <w:lang w:val="hr-HR"/>
        </w:rPr>
        <w:t xml:space="preserve"> </w:t>
      </w:r>
      <w:r w:rsidR="005E7B54">
        <w:rPr>
          <w:sz w:val="24"/>
          <w:szCs w:val="24"/>
          <w:lang w:val="hr-HR"/>
        </w:rPr>
        <w:t>izvršiti reformu administrativnog sektora</w:t>
      </w:r>
      <w:r w:rsidR="00BA7C64">
        <w:rPr>
          <w:sz w:val="24"/>
          <w:szCs w:val="24"/>
          <w:lang w:val="hr-HR"/>
        </w:rPr>
        <w:t xml:space="preserve">, </w:t>
      </w:r>
      <w:r w:rsidR="00683446">
        <w:rPr>
          <w:sz w:val="24"/>
          <w:szCs w:val="24"/>
          <w:lang w:val="hr-HR"/>
        </w:rPr>
        <w:t>obrazovanja i zdravstva</w:t>
      </w:r>
      <w:r w:rsidR="00C42205">
        <w:rPr>
          <w:sz w:val="24"/>
          <w:szCs w:val="24"/>
          <w:lang w:val="hr-HR"/>
        </w:rPr>
        <w:t xml:space="preserve"> sa ciljem </w:t>
      </w:r>
      <w:r w:rsidR="00596EC5">
        <w:rPr>
          <w:sz w:val="24"/>
          <w:szCs w:val="24"/>
          <w:lang w:val="hr-HR"/>
        </w:rPr>
        <w:t>r</w:t>
      </w:r>
      <w:r w:rsidR="00C42205">
        <w:rPr>
          <w:sz w:val="24"/>
          <w:szCs w:val="24"/>
          <w:lang w:val="hr-HR"/>
        </w:rPr>
        <w:t xml:space="preserve">acionalizacije i povećanja efikasnosti.  </w:t>
      </w:r>
    </w:p>
    <w:p w:rsidR="005A0D3A" w:rsidRDefault="00AF57F7" w:rsidP="006A544D">
      <w:pPr>
        <w:jc w:val="both"/>
        <w:rPr>
          <w:sz w:val="24"/>
          <w:szCs w:val="24"/>
          <w:lang w:val="hr-HR"/>
        </w:rPr>
      </w:pPr>
      <w:r>
        <w:rPr>
          <w:sz w:val="24"/>
          <w:szCs w:val="24"/>
          <w:lang w:val="hr-HR"/>
        </w:rPr>
        <w:tab/>
      </w:r>
    </w:p>
    <w:p w:rsidR="00AC76C9" w:rsidRPr="0057569A" w:rsidRDefault="003E13DA" w:rsidP="000E73DF">
      <w:pPr>
        <w:pStyle w:val="Heading2"/>
        <w:rPr>
          <w:color w:val="auto"/>
          <w:sz w:val="24"/>
          <w:szCs w:val="24"/>
        </w:rPr>
      </w:pPr>
      <w:bookmarkStart w:id="80" w:name="_Toc422899937"/>
      <w:r w:rsidRPr="005F0507">
        <w:rPr>
          <w:color w:val="auto"/>
          <w:sz w:val="28"/>
        </w:rPr>
        <w:t xml:space="preserve">3.1. </w:t>
      </w:r>
      <w:r w:rsidRPr="0057569A">
        <w:rPr>
          <w:color w:val="auto"/>
          <w:sz w:val="24"/>
          <w:szCs w:val="24"/>
        </w:rPr>
        <w:t>Alokacija sredstava po ekonomskim klasifikacijama</w:t>
      </w:r>
      <w:bookmarkEnd w:id="80"/>
      <w:r w:rsidRPr="0057569A">
        <w:rPr>
          <w:color w:val="auto"/>
          <w:sz w:val="24"/>
          <w:szCs w:val="24"/>
        </w:rPr>
        <w:t xml:space="preserve"> </w:t>
      </w:r>
    </w:p>
    <w:p w:rsidR="00AC76C9" w:rsidRPr="0057569A" w:rsidRDefault="00AC76C9" w:rsidP="006A544D">
      <w:pPr>
        <w:jc w:val="both"/>
        <w:rPr>
          <w:sz w:val="24"/>
          <w:szCs w:val="24"/>
          <w:lang w:val="hr-HR"/>
        </w:rPr>
      </w:pPr>
    </w:p>
    <w:p w:rsidR="0057569A" w:rsidRDefault="003E13DA" w:rsidP="007D5F34">
      <w:pPr>
        <w:jc w:val="both"/>
        <w:rPr>
          <w:sz w:val="24"/>
          <w:szCs w:val="24"/>
          <w:lang w:val="hr-HR"/>
        </w:rPr>
      </w:pPr>
      <w:r w:rsidRPr="0072643A">
        <w:rPr>
          <w:sz w:val="24"/>
          <w:szCs w:val="24"/>
          <w:lang w:val="hr-HR"/>
        </w:rPr>
        <w:t>U tabeli 3.1. prikazana je alokacija</w:t>
      </w:r>
      <w:r w:rsidRPr="00780E5B">
        <w:rPr>
          <w:sz w:val="24"/>
          <w:szCs w:val="24"/>
          <w:lang w:val="hr-HR"/>
        </w:rPr>
        <w:t xml:space="preserve"> budžetskih sredstava po ekonomskoj klasifikaciji i to</w:t>
      </w:r>
      <w:r w:rsidR="0072643A">
        <w:rPr>
          <w:sz w:val="24"/>
          <w:szCs w:val="24"/>
          <w:lang w:val="hr-HR"/>
        </w:rPr>
        <w:t xml:space="preserve"> izvor 10- budžetska sredstva.</w:t>
      </w:r>
      <w:r w:rsidRPr="00780E5B">
        <w:rPr>
          <w:sz w:val="24"/>
          <w:szCs w:val="24"/>
          <w:lang w:val="hr-HR"/>
        </w:rPr>
        <w:t xml:space="preserve"> </w:t>
      </w:r>
      <w:bookmarkStart w:id="81" w:name="RANGE!A3"/>
    </w:p>
    <w:p w:rsidR="007D5F34" w:rsidRPr="005B5DFD" w:rsidRDefault="007D5F34" w:rsidP="007D5F34">
      <w:pPr>
        <w:jc w:val="both"/>
        <w:rPr>
          <w:sz w:val="24"/>
          <w:szCs w:val="24"/>
          <w:lang w:val="hr-HR"/>
        </w:rPr>
      </w:pPr>
    </w:p>
    <w:p w:rsidR="009D0267" w:rsidRDefault="00DC4823" w:rsidP="00345587">
      <w:pPr>
        <w:pStyle w:val="BodyText2Char"/>
        <w:jc w:val="both"/>
        <w:rPr>
          <w:szCs w:val="22"/>
          <w:lang w:val="bs-Latn-BA" w:eastAsia="bs-Latn-BA"/>
        </w:rPr>
      </w:pPr>
      <w:bookmarkStart w:id="82" w:name="_Hlk43799371"/>
      <w:bookmarkEnd w:id="81"/>
      <w:r w:rsidRPr="007D5F34">
        <w:rPr>
          <w:szCs w:val="22"/>
          <w:lang w:val="bs-Latn-BA" w:eastAsia="bs-Latn-BA"/>
        </w:rPr>
        <w:t>Tabela 3.1: Izvršenje budžeta za 201</w:t>
      </w:r>
      <w:r w:rsidR="009D0267">
        <w:rPr>
          <w:szCs w:val="22"/>
          <w:lang w:val="bs-Latn-BA" w:eastAsia="bs-Latn-BA"/>
        </w:rPr>
        <w:t>9</w:t>
      </w:r>
      <w:r w:rsidRPr="007D5F34">
        <w:rPr>
          <w:szCs w:val="22"/>
          <w:lang w:val="bs-Latn-BA" w:eastAsia="bs-Latn-BA"/>
        </w:rPr>
        <w:t>. god., plan za 20</w:t>
      </w:r>
      <w:r w:rsidR="009D0267">
        <w:rPr>
          <w:szCs w:val="22"/>
          <w:lang w:val="bs-Latn-BA" w:eastAsia="bs-Latn-BA"/>
        </w:rPr>
        <w:t>20</w:t>
      </w:r>
      <w:r w:rsidRPr="007D5F34">
        <w:rPr>
          <w:szCs w:val="22"/>
          <w:lang w:val="bs-Latn-BA" w:eastAsia="bs-Latn-BA"/>
        </w:rPr>
        <w:t>.g i procjena budžeta po ekonomskoj klasifikaciji za period 202</w:t>
      </w:r>
      <w:r w:rsidR="009D0267">
        <w:rPr>
          <w:szCs w:val="22"/>
          <w:lang w:val="bs-Latn-BA" w:eastAsia="bs-Latn-BA"/>
        </w:rPr>
        <w:t>1</w:t>
      </w:r>
      <w:r w:rsidRPr="007D5F34">
        <w:rPr>
          <w:szCs w:val="22"/>
          <w:lang w:val="bs-Latn-BA" w:eastAsia="bs-Latn-BA"/>
        </w:rPr>
        <w:t xml:space="preserve"> - 202</w:t>
      </w:r>
      <w:r w:rsidR="009D0267">
        <w:rPr>
          <w:szCs w:val="22"/>
          <w:lang w:val="bs-Latn-BA" w:eastAsia="bs-Latn-BA"/>
        </w:rPr>
        <w:t>3</w:t>
      </w:r>
      <w:r w:rsidRPr="007D5F34">
        <w:rPr>
          <w:szCs w:val="22"/>
          <w:lang w:val="bs-Latn-BA" w:eastAsia="bs-Latn-BA"/>
        </w:rPr>
        <w:t xml:space="preserve"> u mil. KM   </w:t>
      </w:r>
    </w:p>
    <w:bookmarkEnd w:id="82"/>
    <w:p w:rsidR="009D0267" w:rsidRDefault="009D0267" w:rsidP="00345587">
      <w:pPr>
        <w:pStyle w:val="BodyText2Char"/>
        <w:jc w:val="both"/>
        <w:rPr>
          <w:szCs w:val="22"/>
          <w:lang w:val="bs-Latn-BA" w:eastAsia="bs-Latn-BA"/>
        </w:rPr>
      </w:pPr>
    </w:p>
    <w:tbl>
      <w:tblPr>
        <w:tblW w:w="8080" w:type="dxa"/>
        <w:tblInd w:w="108" w:type="dxa"/>
        <w:tblLook w:val="04A0"/>
      </w:tblPr>
      <w:tblGrid>
        <w:gridCol w:w="2360"/>
        <w:gridCol w:w="792"/>
        <w:gridCol w:w="686"/>
        <w:gridCol w:w="686"/>
        <w:gridCol w:w="686"/>
        <w:gridCol w:w="686"/>
        <w:gridCol w:w="614"/>
        <w:gridCol w:w="686"/>
        <w:gridCol w:w="614"/>
        <w:gridCol w:w="686"/>
        <w:gridCol w:w="614"/>
      </w:tblGrid>
      <w:tr w:rsidR="009D0267" w:rsidRPr="009D0267" w:rsidTr="009D0267">
        <w:trPr>
          <w:trHeight w:val="300"/>
        </w:trPr>
        <w:tc>
          <w:tcPr>
            <w:tcW w:w="2360" w:type="dxa"/>
            <w:tcBorders>
              <w:top w:val="nil"/>
              <w:left w:val="nil"/>
              <w:bottom w:val="nil"/>
              <w:right w:val="nil"/>
            </w:tcBorders>
            <w:shd w:val="clear" w:color="auto" w:fill="auto"/>
            <w:noWrap/>
            <w:vAlign w:val="bottom"/>
            <w:hideMark/>
          </w:tcPr>
          <w:p w:rsidR="009D0267" w:rsidRPr="009D0267" w:rsidRDefault="009D0267" w:rsidP="009D0267">
            <w:pPr>
              <w:rPr>
                <w:sz w:val="20"/>
                <w:szCs w:val="24"/>
                <w:lang w:eastAsia="en-GB"/>
              </w:rPr>
            </w:pPr>
          </w:p>
        </w:tc>
        <w:tc>
          <w:tcPr>
            <w:tcW w:w="6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D0267" w:rsidRPr="00EC7B7C" w:rsidRDefault="009D0267" w:rsidP="009D0267">
            <w:pPr>
              <w:jc w:val="center"/>
              <w:rPr>
                <w:sz w:val="14"/>
                <w:szCs w:val="14"/>
                <w:lang w:eastAsia="en-GB"/>
              </w:rPr>
            </w:pPr>
            <w:r w:rsidRPr="00EC7B7C">
              <w:rPr>
                <w:sz w:val="14"/>
                <w:szCs w:val="14"/>
                <w:lang w:eastAsia="en-GB"/>
              </w:rPr>
              <w:t>Ostvareno</w:t>
            </w:r>
          </w:p>
        </w:tc>
        <w:tc>
          <w:tcPr>
            <w:tcW w:w="1180" w:type="dxa"/>
            <w:gridSpan w:val="2"/>
            <w:tcBorders>
              <w:top w:val="single" w:sz="4" w:space="0" w:color="auto"/>
              <w:left w:val="nil"/>
              <w:bottom w:val="single" w:sz="4" w:space="0" w:color="auto"/>
              <w:right w:val="single" w:sz="4" w:space="0" w:color="000000"/>
            </w:tcBorders>
            <w:shd w:val="clear" w:color="000000" w:fill="D9D9D9"/>
            <w:vAlign w:val="center"/>
            <w:hideMark/>
          </w:tcPr>
          <w:p w:rsidR="009D0267" w:rsidRPr="00EC7B7C" w:rsidRDefault="009D0267" w:rsidP="009D0267">
            <w:pPr>
              <w:jc w:val="center"/>
              <w:rPr>
                <w:sz w:val="14"/>
                <w:szCs w:val="14"/>
                <w:lang w:eastAsia="en-GB"/>
              </w:rPr>
            </w:pPr>
            <w:r w:rsidRPr="00EC7B7C">
              <w:rPr>
                <w:sz w:val="14"/>
                <w:szCs w:val="14"/>
                <w:lang w:eastAsia="en-GB"/>
              </w:rPr>
              <w:t>Plan</w:t>
            </w:r>
          </w:p>
        </w:tc>
        <w:tc>
          <w:tcPr>
            <w:tcW w:w="3900" w:type="dxa"/>
            <w:gridSpan w:val="7"/>
            <w:tcBorders>
              <w:top w:val="single" w:sz="4" w:space="0" w:color="auto"/>
              <w:left w:val="nil"/>
              <w:bottom w:val="single" w:sz="4" w:space="0" w:color="auto"/>
              <w:right w:val="single" w:sz="4" w:space="0" w:color="000000"/>
            </w:tcBorders>
            <w:shd w:val="clear" w:color="000000" w:fill="D9D9D9"/>
            <w:vAlign w:val="center"/>
            <w:hideMark/>
          </w:tcPr>
          <w:p w:rsidR="009D0267" w:rsidRPr="00EC7B7C" w:rsidRDefault="009D0267" w:rsidP="009D0267">
            <w:pPr>
              <w:jc w:val="center"/>
              <w:rPr>
                <w:sz w:val="14"/>
                <w:szCs w:val="14"/>
                <w:lang w:eastAsia="en-GB"/>
              </w:rPr>
            </w:pPr>
            <w:r w:rsidRPr="00EC7B7C">
              <w:rPr>
                <w:sz w:val="14"/>
                <w:szCs w:val="14"/>
                <w:lang w:eastAsia="en-GB"/>
              </w:rPr>
              <w:t>Projekcije  (izvor10)</w:t>
            </w:r>
          </w:p>
        </w:tc>
      </w:tr>
      <w:tr w:rsidR="009D0267" w:rsidRPr="009D0267" w:rsidTr="009D0267">
        <w:trPr>
          <w:trHeight w:val="240"/>
        </w:trPr>
        <w:tc>
          <w:tcPr>
            <w:tcW w:w="2360" w:type="dxa"/>
            <w:tcBorders>
              <w:top w:val="nil"/>
              <w:left w:val="nil"/>
              <w:bottom w:val="nil"/>
              <w:right w:val="nil"/>
            </w:tcBorders>
            <w:shd w:val="clear" w:color="auto" w:fill="auto"/>
            <w:noWrap/>
            <w:vAlign w:val="bottom"/>
            <w:hideMark/>
          </w:tcPr>
          <w:p w:rsidR="009D0267" w:rsidRPr="009D0267" w:rsidRDefault="009D0267" w:rsidP="009D0267">
            <w:pPr>
              <w:jc w:val="center"/>
              <w:rPr>
                <w:sz w:val="21"/>
                <w:szCs w:val="21"/>
                <w:lang w:eastAsia="en-GB"/>
              </w:rPr>
            </w:pPr>
            <w:bookmarkStart w:id="83" w:name="RANGE!A5"/>
            <w:r w:rsidRPr="009D0267">
              <w:rPr>
                <w:sz w:val="21"/>
                <w:szCs w:val="21"/>
                <w:lang w:eastAsia="en-GB"/>
              </w:rPr>
              <w:t xml:space="preserve"> </w:t>
            </w:r>
            <w:r w:rsidRPr="009D0267">
              <w:rPr>
                <w:sz w:val="16"/>
                <w:szCs w:val="16"/>
                <w:lang w:eastAsia="en-GB"/>
              </w:rPr>
              <w:t xml:space="preserve">   mil. KM</w:t>
            </w:r>
            <w:bookmarkEnd w:id="83"/>
          </w:p>
        </w:tc>
        <w:tc>
          <w:tcPr>
            <w:tcW w:w="640" w:type="dxa"/>
            <w:tcBorders>
              <w:top w:val="nil"/>
              <w:left w:val="single" w:sz="4" w:space="0" w:color="auto"/>
              <w:bottom w:val="single" w:sz="4" w:space="0" w:color="auto"/>
              <w:right w:val="single" w:sz="4" w:space="0" w:color="auto"/>
            </w:tcBorders>
            <w:shd w:val="clear" w:color="000000" w:fill="D9D9D9"/>
            <w:hideMark/>
          </w:tcPr>
          <w:p w:rsidR="009D0267" w:rsidRPr="00EC7B7C" w:rsidRDefault="009D0267" w:rsidP="009D0267">
            <w:pPr>
              <w:jc w:val="center"/>
              <w:rPr>
                <w:sz w:val="14"/>
                <w:szCs w:val="14"/>
                <w:lang w:eastAsia="en-GB"/>
              </w:rPr>
            </w:pPr>
            <w:r w:rsidRPr="00EC7B7C">
              <w:rPr>
                <w:sz w:val="14"/>
                <w:szCs w:val="14"/>
                <w:lang w:eastAsia="en-GB"/>
              </w:rPr>
              <w:t>2019</w:t>
            </w:r>
          </w:p>
        </w:tc>
        <w:tc>
          <w:tcPr>
            <w:tcW w:w="600" w:type="dxa"/>
            <w:tcBorders>
              <w:top w:val="nil"/>
              <w:left w:val="nil"/>
              <w:bottom w:val="single" w:sz="4" w:space="0" w:color="auto"/>
              <w:right w:val="single" w:sz="4" w:space="0" w:color="auto"/>
            </w:tcBorders>
            <w:shd w:val="clear" w:color="000000" w:fill="D9D9D9"/>
            <w:hideMark/>
          </w:tcPr>
          <w:p w:rsidR="009D0267" w:rsidRPr="00EC7B7C" w:rsidRDefault="009D0267" w:rsidP="009D0267">
            <w:pPr>
              <w:jc w:val="center"/>
              <w:rPr>
                <w:sz w:val="14"/>
                <w:szCs w:val="14"/>
                <w:lang w:eastAsia="en-GB"/>
              </w:rPr>
            </w:pPr>
            <w:r w:rsidRPr="00EC7B7C">
              <w:rPr>
                <w:sz w:val="14"/>
                <w:szCs w:val="14"/>
                <w:lang w:eastAsia="en-GB"/>
              </w:rPr>
              <w:t>2020</w:t>
            </w:r>
          </w:p>
        </w:tc>
        <w:tc>
          <w:tcPr>
            <w:tcW w:w="580" w:type="dxa"/>
            <w:tcBorders>
              <w:top w:val="nil"/>
              <w:left w:val="nil"/>
              <w:bottom w:val="single" w:sz="4" w:space="0" w:color="auto"/>
              <w:right w:val="single" w:sz="4" w:space="0" w:color="auto"/>
            </w:tcBorders>
            <w:shd w:val="clear" w:color="000000" w:fill="D9D9D9"/>
            <w:hideMark/>
          </w:tcPr>
          <w:p w:rsidR="009D0267" w:rsidRPr="00EC7B7C" w:rsidRDefault="009D0267" w:rsidP="009D0267">
            <w:pPr>
              <w:jc w:val="center"/>
              <w:rPr>
                <w:sz w:val="14"/>
                <w:szCs w:val="14"/>
                <w:lang w:eastAsia="en-GB"/>
              </w:rPr>
            </w:pPr>
            <w:r w:rsidRPr="00EC7B7C">
              <w:rPr>
                <w:sz w:val="14"/>
                <w:szCs w:val="14"/>
                <w:lang w:eastAsia="en-GB"/>
              </w:rPr>
              <w:t>2020- izvor 10</w:t>
            </w:r>
          </w:p>
        </w:tc>
        <w:tc>
          <w:tcPr>
            <w:tcW w:w="600" w:type="dxa"/>
            <w:tcBorders>
              <w:top w:val="nil"/>
              <w:left w:val="nil"/>
              <w:bottom w:val="single" w:sz="4" w:space="0" w:color="auto"/>
              <w:right w:val="single" w:sz="4" w:space="0" w:color="auto"/>
            </w:tcBorders>
            <w:shd w:val="clear" w:color="000000" w:fill="D9D9D9"/>
            <w:hideMark/>
          </w:tcPr>
          <w:p w:rsidR="009D0267" w:rsidRPr="00EC7B7C" w:rsidRDefault="009D0267" w:rsidP="009D0267">
            <w:pPr>
              <w:jc w:val="center"/>
              <w:rPr>
                <w:sz w:val="14"/>
                <w:szCs w:val="14"/>
                <w:lang w:eastAsia="en-GB"/>
              </w:rPr>
            </w:pPr>
            <w:r w:rsidRPr="00EC7B7C">
              <w:rPr>
                <w:sz w:val="14"/>
                <w:szCs w:val="14"/>
                <w:lang w:eastAsia="en-GB"/>
              </w:rPr>
              <w:t>zahtjev 21.</w:t>
            </w:r>
          </w:p>
        </w:tc>
        <w:tc>
          <w:tcPr>
            <w:tcW w:w="660" w:type="dxa"/>
            <w:tcBorders>
              <w:top w:val="nil"/>
              <w:left w:val="nil"/>
              <w:bottom w:val="single" w:sz="4" w:space="0" w:color="auto"/>
              <w:right w:val="single" w:sz="4" w:space="0" w:color="auto"/>
            </w:tcBorders>
            <w:shd w:val="clear" w:color="000000" w:fill="D9D9D9"/>
            <w:hideMark/>
          </w:tcPr>
          <w:p w:rsidR="009D0267" w:rsidRPr="009D0267" w:rsidRDefault="009D0267" w:rsidP="009D0267">
            <w:pPr>
              <w:jc w:val="center"/>
              <w:rPr>
                <w:sz w:val="14"/>
                <w:szCs w:val="14"/>
                <w:lang w:eastAsia="en-GB"/>
              </w:rPr>
            </w:pPr>
            <w:r w:rsidRPr="009D0267">
              <w:rPr>
                <w:sz w:val="14"/>
                <w:szCs w:val="14"/>
                <w:lang w:eastAsia="en-GB"/>
              </w:rPr>
              <w:t>2021</w:t>
            </w:r>
          </w:p>
        </w:tc>
        <w:tc>
          <w:tcPr>
            <w:tcW w:w="460" w:type="dxa"/>
            <w:tcBorders>
              <w:top w:val="nil"/>
              <w:left w:val="nil"/>
              <w:bottom w:val="single" w:sz="4" w:space="0" w:color="auto"/>
              <w:right w:val="single" w:sz="4" w:space="0" w:color="auto"/>
            </w:tcBorders>
            <w:shd w:val="clear" w:color="000000" w:fill="D9D9D9"/>
            <w:hideMark/>
          </w:tcPr>
          <w:p w:rsidR="009D0267" w:rsidRPr="009D0267" w:rsidRDefault="009D0267" w:rsidP="009D0267">
            <w:pPr>
              <w:jc w:val="center"/>
              <w:rPr>
                <w:sz w:val="14"/>
                <w:szCs w:val="14"/>
                <w:lang w:eastAsia="en-GB"/>
              </w:rPr>
            </w:pPr>
            <w:r w:rsidRPr="009D0267">
              <w:rPr>
                <w:sz w:val="14"/>
                <w:szCs w:val="14"/>
                <w:lang w:eastAsia="en-GB"/>
              </w:rPr>
              <w:t>Index</w:t>
            </w:r>
          </w:p>
        </w:tc>
        <w:tc>
          <w:tcPr>
            <w:tcW w:w="620" w:type="dxa"/>
            <w:tcBorders>
              <w:top w:val="nil"/>
              <w:left w:val="nil"/>
              <w:bottom w:val="single" w:sz="4" w:space="0" w:color="auto"/>
              <w:right w:val="single" w:sz="4" w:space="0" w:color="auto"/>
            </w:tcBorders>
            <w:shd w:val="clear" w:color="000000" w:fill="D9D9D9"/>
            <w:hideMark/>
          </w:tcPr>
          <w:p w:rsidR="009D0267" w:rsidRPr="009D0267" w:rsidRDefault="009D0267" w:rsidP="009D0267">
            <w:pPr>
              <w:jc w:val="center"/>
              <w:rPr>
                <w:sz w:val="14"/>
                <w:szCs w:val="14"/>
                <w:lang w:eastAsia="en-GB"/>
              </w:rPr>
            </w:pPr>
            <w:r w:rsidRPr="009D0267">
              <w:rPr>
                <w:sz w:val="14"/>
                <w:szCs w:val="14"/>
                <w:lang w:eastAsia="en-GB"/>
              </w:rPr>
              <w:t>2022</w:t>
            </w:r>
          </w:p>
        </w:tc>
        <w:tc>
          <w:tcPr>
            <w:tcW w:w="460" w:type="dxa"/>
            <w:tcBorders>
              <w:top w:val="nil"/>
              <w:left w:val="nil"/>
              <w:bottom w:val="single" w:sz="4" w:space="0" w:color="auto"/>
              <w:right w:val="single" w:sz="4" w:space="0" w:color="auto"/>
            </w:tcBorders>
            <w:shd w:val="clear" w:color="000000" w:fill="D9D9D9"/>
            <w:hideMark/>
          </w:tcPr>
          <w:p w:rsidR="009D0267" w:rsidRPr="009D0267" w:rsidRDefault="009D0267" w:rsidP="009D0267">
            <w:pPr>
              <w:jc w:val="center"/>
              <w:rPr>
                <w:sz w:val="14"/>
                <w:szCs w:val="14"/>
                <w:lang w:eastAsia="en-GB"/>
              </w:rPr>
            </w:pPr>
            <w:r w:rsidRPr="009D0267">
              <w:rPr>
                <w:sz w:val="14"/>
                <w:szCs w:val="14"/>
                <w:lang w:eastAsia="en-GB"/>
              </w:rPr>
              <w:t>Index</w:t>
            </w:r>
          </w:p>
        </w:tc>
        <w:tc>
          <w:tcPr>
            <w:tcW w:w="620" w:type="dxa"/>
            <w:tcBorders>
              <w:top w:val="nil"/>
              <w:left w:val="nil"/>
              <w:bottom w:val="single" w:sz="4" w:space="0" w:color="auto"/>
              <w:right w:val="single" w:sz="4" w:space="0" w:color="auto"/>
            </w:tcBorders>
            <w:shd w:val="clear" w:color="000000" w:fill="D9D9D9"/>
            <w:hideMark/>
          </w:tcPr>
          <w:p w:rsidR="009D0267" w:rsidRPr="009D0267" w:rsidRDefault="009D0267" w:rsidP="009D0267">
            <w:pPr>
              <w:jc w:val="center"/>
              <w:rPr>
                <w:sz w:val="14"/>
                <w:szCs w:val="14"/>
                <w:lang w:eastAsia="en-GB"/>
              </w:rPr>
            </w:pPr>
            <w:r w:rsidRPr="009D0267">
              <w:rPr>
                <w:sz w:val="14"/>
                <w:szCs w:val="14"/>
                <w:lang w:eastAsia="en-GB"/>
              </w:rPr>
              <w:t>2023</w:t>
            </w:r>
          </w:p>
        </w:tc>
        <w:tc>
          <w:tcPr>
            <w:tcW w:w="480" w:type="dxa"/>
            <w:tcBorders>
              <w:top w:val="nil"/>
              <w:left w:val="nil"/>
              <w:bottom w:val="single" w:sz="4" w:space="0" w:color="auto"/>
              <w:right w:val="single" w:sz="4" w:space="0" w:color="auto"/>
            </w:tcBorders>
            <w:shd w:val="clear" w:color="000000" w:fill="D9D9D9"/>
            <w:hideMark/>
          </w:tcPr>
          <w:p w:rsidR="009D0267" w:rsidRPr="009D0267" w:rsidRDefault="009D0267" w:rsidP="009D0267">
            <w:pPr>
              <w:jc w:val="center"/>
              <w:rPr>
                <w:sz w:val="14"/>
                <w:szCs w:val="14"/>
                <w:lang w:eastAsia="en-GB"/>
              </w:rPr>
            </w:pPr>
            <w:r w:rsidRPr="009D0267">
              <w:rPr>
                <w:sz w:val="14"/>
                <w:szCs w:val="14"/>
                <w:lang w:eastAsia="en-GB"/>
              </w:rPr>
              <w:t>Index</w:t>
            </w:r>
          </w:p>
        </w:tc>
      </w:tr>
      <w:tr w:rsidR="009D0267" w:rsidRPr="009D0267" w:rsidTr="009D0267">
        <w:trPr>
          <w:trHeight w:val="180"/>
        </w:trPr>
        <w:tc>
          <w:tcPr>
            <w:tcW w:w="2360" w:type="dxa"/>
            <w:tcBorders>
              <w:top w:val="nil"/>
              <w:left w:val="nil"/>
              <w:bottom w:val="nil"/>
              <w:right w:val="nil"/>
            </w:tcBorders>
            <w:shd w:val="clear" w:color="auto" w:fill="auto"/>
            <w:noWrap/>
            <w:vAlign w:val="bottom"/>
            <w:hideMark/>
          </w:tcPr>
          <w:p w:rsidR="009D0267" w:rsidRPr="009D0267" w:rsidRDefault="009D0267" w:rsidP="009D0267">
            <w:pPr>
              <w:jc w:val="center"/>
              <w:rPr>
                <w:sz w:val="14"/>
                <w:szCs w:val="14"/>
                <w:lang w:eastAsia="en-GB"/>
              </w:rPr>
            </w:pPr>
          </w:p>
        </w:tc>
        <w:tc>
          <w:tcPr>
            <w:tcW w:w="640" w:type="dxa"/>
            <w:tcBorders>
              <w:top w:val="nil"/>
              <w:left w:val="single" w:sz="4" w:space="0" w:color="auto"/>
              <w:bottom w:val="single" w:sz="4" w:space="0" w:color="auto"/>
              <w:right w:val="single" w:sz="4" w:space="0" w:color="auto"/>
            </w:tcBorders>
            <w:shd w:val="clear" w:color="000000" w:fill="D9D9D9"/>
            <w:hideMark/>
          </w:tcPr>
          <w:p w:rsidR="009D0267" w:rsidRPr="00EC7B7C" w:rsidRDefault="009D0267" w:rsidP="009D0267">
            <w:pPr>
              <w:jc w:val="center"/>
              <w:rPr>
                <w:sz w:val="14"/>
                <w:szCs w:val="14"/>
                <w:lang w:eastAsia="en-GB"/>
              </w:rPr>
            </w:pPr>
            <w:r w:rsidRPr="00EC7B7C">
              <w:rPr>
                <w:sz w:val="14"/>
                <w:szCs w:val="14"/>
                <w:lang w:eastAsia="en-GB"/>
              </w:rPr>
              <w:t>1</w:t>
            </w:r>
          </w:p>
        </w:tc>
        <w:tc>
          <w:tcPr>
            <w:tcW w:w="600" w:type="dxa"/>
            <w:tcBorders>
              <w:top w:val="nil"/>
              <w:left w:val="nil"/>
              <w:bottom w:val="single" w:sz="4" w:space="0" w:color="auto"/>
              <w:right w:val="single" w:sz="4" w:space="0" w:color="auto"/>
            </w:tcBorders>
            <w:shd w:val="clear" w:color="000000" w:fill="D9D9D9"/>
            <w:hideMark/>
          </w:tcPr>
          <w:p w:rsidR="009D0267" w:rsidRPr="00EC7B7C" w:rsidRDefault="009D0267" w:rsidP="009D0267">
            <w:pPr>
              <w:jc w:val="center"/>
              <w:rPr>
                <w:sz w:val="14"/>
                <w:szCs w:val="14"/>
                <w:lang w:eastAsia="en-GB"/>
              </w:rPr>
            </w:pPr>
            <w:r w:rsidRPr="00EC7B7C">
              <w:rPr>
                <w:sz w:val="14"/>
                <w:szCs w:val="14"/>
                <w:lang w:eastAsia="en-GB"/>
              </w:rPr>
              <w:t>2</w:t>
            </w:r>
          </w:p>
        </w:tc>
        <w:tc>
          <w:tcPr>
            <w:tcW w:w="580" w:type="dxa"/>
            <w:tcBorders>
              <w:top w:val="nil"/>
              <w:left w:val="nil"/>
              <w:bottom w:val="single" w:sz="4" w:space="0" w:color="auto"/>
              <w:right w:val="single" w:sz="4" w:space="0" w:color="auto"/>
            </w:tcBorders>
            <w:shd w:val="clear" w:color="000000" w:fill="D9D9D9"/>
            <w:hideMark/>
          </w:tcPr>
          <w:p w:rsidR="009D0267" w:rsidRPr="00EC7B7C" w:rsidRDefault="009D0267" w:rsidP="009D0267">
            <w:pPr>
              <w:jc w:val="center"/>
              <w:rPr>
                <w:sz w:val="14"/>
                <w:szCs w:val="14"/>
                <w:lang w:eastAsia="en-GB"/>
              </w:rPr>
            </w:pPr>
            <w:r w:rsidRPr="00EC7B7C">
              <w:rPr>
                <w:sz w:val="14"/>
                <w:szCs w:val="14"/>
                <w:lang w:eastAsia="en-GB"/>
              </w:rPr>
              <w:t>3</w:t>
            </w:r>
          </w:p>
        </w:tc>
        <w:tc>
          <w:tcPr>
            <w:tcW w:w="600" w:type="dxa"/>
            <w:tcBorders>
              <w:top w:val="nil"/>
              <w:left w:val="nil"/>
              <w:bottom w:val="single" w:sz="4" w:space="0" w:color="auto"/>
              <w:right w:val="single" w:sz="4" w:space="0" w:color="auto"/>
            </w:tcBorders>
            <w:shd w:val="clear" w:color="000000" w:fill="D9D9D9"/>
            <w:hideMark/>
          </w:tcPr>
          <w:p w:rsidR="009D0267" w:rsidRPr="00EC7B7C" w:rsidRDefault="009D0267" w:rsidP="009D0267">
            <w:pPr>
              <w:jc w:val="center"/>
              <w:rPr>
                <w:sz w:val="14"/>
                <w:szCs w:val="14"/>
                <w:lang w:eastAsia="en-GB"/>
              </w:rPr>
            </w:pPr>
            <w:r w:rsidRPr="00EC7B7C">
              <w:rPr>
                <w:sz w:val="14"/>
                <w:szCs w:val="14"/>
                <w:lang w:eastAsia="en-GB"/>
              </w:rPr>
              <w:t>4</w:t>
            </w:r>
          </w:p>
        </w:tc>
        <w:tc>
          <w:tcPr>
            <w:tcW w:w="660" w:type="dxa"/>
            <w:tcBorders>
              <w:top w:val="nil"/>
              <w:left w:val="nil"/>
              <w:bottom w:val="single" w:sz="4" w:space="0" w:color="auto"/>
              <w:right w:val="single" w:sz="4" w:space="0" w:color="auto"/>
            </w:tcBorders>
            <w:shd w:val="clear" w:color="000000" w:fill="D9D9D9"/>
            <w:hideMark/>
          </w:tcPr>
          <w:p w:rsidR="009D0267" w:rsidRPr="009D0267" w:rsidRDefault="009D0267" w:rsidP="009D0267">
            <w:pPr>
              <w:jc w:val="center"/>
              <w:rPr>
                <w:sz w:val="14"/>
                <w:szCs w:val="14"/>
                <w:lang w:eastAsia="en-GB"/>
              </w:rPr>
            </w:pPr>
            <w:r w:rsidRPr="009D0267">
              <w:rPr>
                <w:sz w:val="14"/>
                <w:szCs w:val="14"/>
                <w:lang w:eastAsia="en-GB"/>
              </w:rPr>
              <w:t>5</w:t>
            </w:r>
          </w:p>
        </w:tc>
        <w:tc>
          <w:tcPr>
            <w:tcW w:w="460" w:type="dxa"/>
            <w:tcBorders>
              <w:top w:val="nil"/>
              <w:left w:val="nil"/>
              <w:bottom w:val="single" w:sz="4" w:space="0" w:color="auto"/>
              <w:right w:val="single" w:sz="4" w:space="0" w:color="auto"/>
            </w:tcBorders>
            <w:shd w:val="clear" w:color="000000" w:fill="D9D9D9"/>
            <w:hideMark/>
          </w:tcPr>
          <w:p w:rsidR="009D0267" w:rsidRPr="009D0267" w:rsidRDefault="009D0267" w:rsidP="009D0267">
            <w:pPr>
              <w:jc w:val="center"/>
              <w:rPr>
                <w:sz w:val="14"/>
                <w:szCs w:val="14"/>
                <w:lang w:eastAsia="en-GB"/>
              </w:rPr>
            </w:pPr>
            <w:r w:rsidRPr="009D0267">
              <w:rPr>
                <w:sz w:val="14"/>
                <w:szCs w:val="14"/>
                <w:lang w:eastAsia="en-GB"/>
              </w:rPr>
              <w:t>6</w:t>
            </w:r>
          </w:p>
        </w:tc>
        <w:tc>
          <w:tcPr>
            <w:tcW w:w="620" w:type="dxa"/>
            <w:tcBorders>
              <w:top w:val="nil"/>
              <w:left w:val="nil"/>
              <w:bottom w:val="single" w:sz="4" w:space="0" w:color="auto"/>
              <w:right w:val="single" w:sz="4" w:space="0" w:color="auto"/>
            </w:tcBorders>
            <w:shd w:val="clear" w:color="000000" w:fill="D9D9D9"/>
            <w:hideMark/>
          </w:tcPr>
          <w:p w:rsidR="009D0267" w:rsidRPr="009D0267" w:rsidRDefault="009D0267" w:rsidP="009D0267">
            <w:pPr>
              <w:jc w:val="center"/>
              <w:rPr>
                <w:sz w:val="14"/>
                <w:szCs w:val="14"/>
                <w:lang w:eastAsia="en-GB"/>
              </w:rPr>
            </w:pPr>
            <w:r w:rsidRPr="009D0267">
              <w:rPr>
                <w:sz w:val="14"/>
                <w:szCs w:val="14"/>
                <w:lang w:eastAsia="en-GB"/>
              </w:rPr>
              <w:t>7</w:t>
            </w:r>
          </w:p>
        </w:tc>
        <w:tc>
          <w:tcPr>
            <w:tcW w:w="460" w:type="dxa"/>
            <w:tcBorders>
              <w:top w:val="nil"/>
              <w:left w:val="nil"/>
              <w:bottom w:val="single" w:sz="4" w:space="0" w:color="auto"/>
              <w:right w:val="single" w:sz="4" w:space="0" w:color="auto"/>
            </w:tcBorders>
            <w:shd w:val="clear" w:color="000000" w:fill="D9D9D9"/>
            <w:hideMark/>
          </w:tcPr>
          <w:p w:rsidR="009D0267" w:rsidRPr="009D0267" w:rsidRDefault="009D0267" w:rsidP="009D0267">
            <w:pPr>
              <w:jc w:val="center"/>
              <w:rPr>
                <w:sz w:val="14"/>
                <w:szCs w:val="14"/>
                <w:lang w:eastAsia="en-GB"/>
              </w:rPr>
            </w:pPr>
            <w:r w:rsidRPr="009D0267">
              <w:rPr>
                <w:sz w:val="14"/>
                <w:szCs w:val="14"/>
                <w:lang w:eastAsia="en-GB"/>
              </w:rPr>
              <w:t>8</w:t>
            </w:r>
          </w:p>
        </w:tc>
        <w:tc>
          <w:tcPr>
            <w:tcW w:w="620" w:type="dxa"/>
            <w:tcBorders>
              <w:top w:val="nil"/>
              <w:left w:val="nil"/>
              <w:bottom w:val="single" w:sz="4" w:space="0" w:color="auto"/>
              <w:right w:val="single" w:sz="4" w:space="0" w:color="auto"/>
            </w:tcBorders>
            <w:shd w:val="clear" w:color="000000" w:fill="D9D9D9"/>
            <w:hideMark/>
          </w:tcPr>
          <w:p w:rsidR="009D0267" w:rsidRPr="009D0267" w:rsidRDefault="009D0267" w:rsidP="009D0267">
            <w:pPr>
              <w:jc w:val="center"/>
              <w:rPr>
                <w:sz w:val="14"/>
                <w:szCs w:val="14"/>
                <w:lang w:eastAsia="en-GB"/>
              </w:rPr>
            </w:pPr>
            <w:r w:rsidRPr="009D0267">
              <w:rPr>
                <w:sz w:val="14"/>
                <w:szCs w:val="14"/>
                <w:lang w:eastAsia="en-GB"/>
              </w:rPr>
              <w:t>9</w:t>
            </w:r>
          </w:p>
        </w:tc>
        <w:tc>
          <w:tcPr>
            <w:tcW w:w="480" w:type="dxa"/>
            <w:tcBorders>
              <w:top w:val="nil"/>
              <w:left w:val="nil"/>
              <w:bottom w:val="single" w:sz="4" w:space="0" w:color="auto"/>
              <w:right w:val="single" w:sz="4" w:space="0" w:color="auto"/>
            </w:tcBorders>
            <w:shd w:val="clear" w:color="000000" w:fill="D9D9D9"/>
            <w:hideMark/>
          </w:tcPr>
          <w:p w:rsidR="009D0267" w:rsidRPr="009D0267" w:rsidRDefault="009D0267" w:rsidP="009D0267">
            <w:pPr>
              <w:jc w:val="center"/>
              <w:rPr>
                <w:sz w:val="14"/>
                <w:szCs w:val="14"/>
                <w:lang w:eastAsia="en-GB"/>
              </w:rPr>
            </w:pPr>
            <w:r w:rsidRPr="009D0267">
              <w:rPr>
                <w:sz w:val="14"/>
                <w:szCs w:val="14"/>
                <w:lang w:eastAsia="en-GB"/>
              </w:rPr>
              <w:t>10</w:t>
            </w:r>
          </w:p>
        </w:tc>
      </w:tr>
      <w:tr w:rsidR="009D0267" w:rsidRPr="009D0267" w:rsidTr="009D0267">
        <w:trPr>
          <w:trHeight w:val="255"/>
        </w:trPr>
        <w:tc>
          <w:tcPr>
            <w:tcW w:w="2360"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9D0267" w:rsidRPr="009D0267" w:rsidRDefault="009D0267" w:rsidP="009D0267">
            <w:pPr>
              <w:rPr>
                <w:sz w:val="13"/>
                <w:szCs w:val="13"/>
                <w:lang w:eastAsia="en-GB"/>
              </w:rPr>
            </w:pPr>
            <w:r w:rsidRPr="009D0267">
              <w:rPr>
                <w:sz w:val="13"/>
                <w:szCs w:val="13"/>
                <w:lang w:eastAsia="en-GB"/>
              </w:rPr>
              <w:t>UKUPNI RASHODI</w:t>
            </w:r>
          </w:p>
        </w:tc>
        <w:tc>
          <w:tcPr>
            <w:tcW w:w="64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191,355</w:t>
            </w:r>
          </w:p>
        </w:tc>
        <w:tc>
          <w:tcPr>
            <w:tcW w:w="60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219,789</w:t>
            </w:r>
          </w:p>
        </w:tc>
        <w:tc>
          <w:tcPr>
            <w:tcW w:w="5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202,118</w:t>
            </w:r>
          </w:p>
        </w:tc>
        <w:tc>
          <w:tcPr>
            <w:tcW w:w="60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220,773</w:t>
            </w:r>
          </w:p>
        </w:tc>
        <w:tc>
          <w:tcPr>
            <w:tcW w:w="6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193,133</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95,55</w:t>
            </w:r>
          </w:p>
        </w:tc>
        <w:tc>
          <w:tcPr>
            <w:tcW w:w="62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197,307</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102,16</w:t>
            </w:r>
          </w:p>
        </w:tc>
        <w:tc>
          <w:tcPr>
            <w:tcW w:w="62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205,328</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104,07</w:t>
            </w:r>
          </w:p>
        </w:tc>
      </w:tr>
      <w:tr w:rsidR="009D0267" w:rsidRPr="009D0267" w:rsidTr="009D0267">
        <w:trPr>
          <w:trHeight w:val="360"/>
        </w:trPr>
        <w:tc>
          <w:tcPr>
            <w:tcW w:w="2360" w:type="dxa"/>
            <w:tcBorders>
              <w:top w:val="nil"/>
              <w:left w:val="single" w:sz="4" w:space="0" w:color="auto"/>
              <w:bottom w:val="single" w:sz="4" w:space="0" w:color="auto"/>
              <w:right w:val="single" w:sz="4" w:space="0" w:color="auto"/>
            </w:tcBorders>
            <w:shd w:val="clear" w:color="000000" w:fill="F2F2F2"/>
            <w:vAlign w:val="bottom"/>
            <w:hideMark/>
          </w:tcPr>
          <w:p w:rsidR="009D0267" w:rsidRPr="009D0267" w:rsidRDefault="009D0267" w:rsidP="009D0267">
            <w:pPr>
              <w:rPr>
                <w:sz w:val="13"/>
                <w:szCs w:val="13"/>
                <w:lang w:eastAsia="en-GB"/>
              </w:rPr>
            </w:pPr>
            <w:r w:rsidRPr="009D0267">
              <w:rPr>
                <w:sz w:val="13"/>
                <w:szCs w:val="13"/>
                <w:lang w:eastAsia="en-GB"/>
              </w:rPr>
              <w:t>I Ukupni troškovi plata i naknada zaposlenih</w:t>
            </w:r>
          </w:p>
        </w:tc>
        <w:tc>
          <w:tcPr>
            <w:tcW w:w="64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141,586</w:t>
            </w:r>
          </w:p>
        </w:tc>
        <w:tc>
          <w:tcPr>
            <w:tcW w:w="60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149,462</w:t>
            </w:r>
          </w:p>
        </w:tc>
        <w:tc>
          <w:tcPr>
            <w:tcW w:w="5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146,882</w:t>
            </w:r>
          </w:p>
        </w:tc>
        <w:tc>
          <w:tcPr>
            <w:tcW w:w="60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155,573</w:t>
            </w:r>
          </w:p>
        </w:tc>
        <w:tc>
          <w:tcPr>
            <w:tcW w:w="6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144,359</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98,28</w:t>
            </w:r>
          </w:p>
        </w:tc>
        <w:tc>
          <w:tcPr>
            <w:tcW w:w="62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145,383</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100,71</w:t>
            </w:r>
          </w:p>
        </w:tc>
        <w:tc>
          <w:tcPr>
            <w:tcW w:w="62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148,200</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101,94</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9D0267" w:rsidRPr="009D0267" w:rsidRDefault="009D0267" w:rsidP="009D0267">
            <w:pPr>
              <w:ind w:firstLineChars="100" w:firstLine="130"/>
              <w:rPr>
                <w:sz w:val="13"/>
                <w:szCs w:val="13"/>
                <w:lang w:eastAsia="en-GB"/>
              </w:rPr>
            </w:pPr>
            <w:r w:rsidRPr="009D0267">
              <w:rPr>
                <w:sz w:val="13"/>
                <w:szCs w:val="13"/>
                <w:lang w:eastAsia="en-GB"/>
              </w:rPr>
              <w:t>1.Plate i naknade zaposlenih</w:t>
            </w:r>
          </w:p>
        </w:tc>
        <w:tc>
          <w:tcPr>
            <w:tcW w:w="64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113,708</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119,480</w:t>
            </w:r>
          </w:p>
        </w:tc>
        <w:tc>
          <w:tcPr>
            <w:tcW w:w="58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117,493</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123,407</w:t>
            </w:r>
          </w:p>
        </w:tc>
        <w:tc>
          <w:tcPr>
            <w:tcW w:w="66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115,105</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97,97</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116,123</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100,88</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118,200</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101,79</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9D0267" w:rsidRPr="009D0267" w:rsidRDefault="009D0267" w:rsidP="009D0267">
            <w:pPr>
              <w:ind w:firstLineChars="100" w:firstLine="130"/>
              <w:rPr>
                <w:sz w:val="13"/>
                <w:szCs w:val="13"/>
                <w:lang w:eastAsia="en-GB"/>
              </w:rPr>
            </w:pPr>
            <w:r w:rsidRPr="009D0267">
              <w:rPr>
                <w:sz w:val="13"/>
                <w:szCs w:val="13"/>
                <w:lang w:eastAsia="en-GB"/>
              </w:rPr>
              <w:t>2.Naknade zaposlenih</w:t>
            </w:r>
          </w:p>
        </w:tc>
        <w:tc>
          <w:tcPr>
            <w:tcW w:w="64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14,555</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16,202</w:t>
            </w:r>
          </w:p>
        </w:tc>
        <w:tc>
          <w:tcPr>
            <w:tcW w:w="58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15,817</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17,651</w:t>
            </w:r>
          </w:p>
        </w:tc>
        <w:tc>
          <w:tcPr>
            <w:tcW w:w="66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15,900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100,52</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15,900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100,00</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16,100</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101,26</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9D0267" w:rsidRPr="009D0267" w:rsidRDefault="009D0267" w:rsidP="009D0267">
            <w:pPr>
              <w:ind w:firstLineChars="100" w:firstLine="130"/>
              <w:rPr>
                <w:sz w:val="13"/>
                <w:szCs w:val="13"/>
                <w:lang w:eastAsia="en-GB"/>
              </w:rPr>
            </w:pPr>
            <w:r w:rsidRPr="009D0267">
              <w:rPr>
                <w:sz w:val="13"/>
                <w:szCs w:val="13"/>
                <w:lang w:eastAsia="en-GB"/>
              </w:rPr>
              <w:t>3.Doprinos poslodavca</w:t>
            </w:r>
          </w:p>
        </w:tc>
        <w:tc>
          <w:tcPr>
            <w:tcW w:w="64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13,323</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13,780</w:t>
            </w:r>
          </w:p>
        </w:tc>
        <w:tc>
          <w:tcPr>
            <w:tcW w:w="58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13,572</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14,515</w:t>
            </w:r>
          </w:p>
        </w:tc>
        <w:tc>
          <w:tcPr>
            <w:tcW w:w="66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13,354</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98,39</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13,360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100,04</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13,900</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104,04</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000000" w:fill="F2F2F2"/>
            <w:vAlign w:val="bottom"/>
            <w:hideMark/>
          </w:tcPr>
          <w:p w:rsidR="009D0267" w:rsidRPr="009D0267" w:rsidRDefault="009D0267" w:rsidP="009D0267">
            <w:pPr>
              <w:rPr>
                <w:sz w:val="13"/>
                <w:szCs w:val="13"/>
                <w:lang w:eastAsia="en-GB"/>
              </w:rPr>
            </w:pPr>
            <w:r w:rsidRPr="009D0267">
              <w:rPr>
                <w:sz w:val="13"/>
                <w:szCs w:val="13"/>
                <w:lang w:eastAsia="en-GB"/>
              </w:rPr>
              <w:t xml:space="preserve">II Izdaci za materijal i usluge </w:t>
            </w:r>
          </w:p>
        </w:tc>
        <w:tc>
          <w:tcPr>
            <w:tcW w:w="64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14,757</w:t>
            </w:r>
          </w:p>
        </w:tc>
        <w:tc>
          <w:tcPr>
            <w:tcW w:w="60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17,831</w:t>
            </w:r>
          </w:p>
        </w:tc>
        <w:tc>
          <w:tcPr>
            <w:tcW w:w="5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13,494</w:t>
            </w:r>
          </w:p>
        </w:tc>
        <w:tc>
          <w:tcPr>
            <w:tcW w:w="60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16,757</w:t>
            </w:r>
          </w:p>
        </w:tc>
        <w:tc>
          <w:tcPr>
            <w:tcW w:w="6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13,674</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101,33</w:t>
            </w:r>
          </w:p>
        </w:tc>
        <w:tc>
          <w:tcPr>
            <w:tcW w:w="62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13,924</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101,83</w:t>
            </w:r>
          </w:p>
        </w:tc>
        <w:tc>
          <w:tcPr>
            <w:tcW w:w="62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14,200</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101,98</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000000" w:fill="F2F2F2"/>
            <w:vAlign w:val="bottom"/>
            <w:hideMark/>
          </w:tcPr>
          <w:p w:rsidR="009D0267" w:rsidRPr="009D0267" w:rsidRDefault="009D0267" w:rsidP="009D0267">
            <w:pPr>
              <w:rPr>
                <w:sz w:val="13"/>
                <w:szCs w:val="13"/>
                <w:lang w:eastAsia="en-GB"/>
              </w:rPr>
            </w:pPr>
            <w:r w:rsidRPr="009D0267">
              <w:rPr>
                <w:sz w:val="13"/>
                <w:szCs w:val="13"/>
                <w:lang w:eastAsia="en-GB"/>
              </w:rPr>
              <w:t>III Transferi</w:t>
            </w:r>
          </w:p>
        </w:tc>
        <w:tc>
          <w:tcPr>
            <w:tcW w:w="64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33,188</w:t>
            </w:r>
          </w:p>
        </w:tc>
        <w:tc>
          <w:tcPr>
            <w:tcW w:w="60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45,696</w:t>
            </w:r>
          </w:p>
        </w:tc>
        <w:tc>
          <w:tcPr>
            <w:tcW w:w="5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35,909</w:t>
            </w:r>
          </w:p>
        </w:tc>
        <w:tc>
          <w:tcPr>
            <w:tcW w:w="60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40,832</w:t>
            </w:r>
          </w:p>
        </w:tc>
        <w:tc>
          <w:tcPr>
            <w:tcW w:w="6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32,891</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91,60</w:t>
            </w:r>
          </w:p>
        </w:tc>
        <w:tc>
          <w:tcPr>
            <w:tcW w:w="62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35,600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108,24</w:t>
            </w:r>
          </w:p>
        </w:tc>
        <w:tc>
          <w:tcPr>
            <w:tcW w:w="62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39,900</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112,08</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9D0267" w:rsidRPr="009D0267" w:rsidRDefault="009D0267" w:rsidP="009D0267">
            <w:pPr>
              <w:rPr>
                <w:sz w:val="13"/>
                <w:szCs w:val="13"/>
                <w:lang w:eastAsia="en-GB"/>
              </w:rPr>
            </w:pPr>
            <w:r w:rsidRPr="009D0267">
              <w:rPr>
                <w:sz w:val="13"/>
                <w:szCs w:val="13"/>
                <w:lang w:eastAsia="en-GB"/>
              </w:rPr>
              <w:t xml:space="preserve">  1.Transfer drugim nivoima vlasti </w:t>
            </w:r>
          </w:p>
        </w:tc>
        <w:tc>
          <w:tcPr>
            <w:tcW w:w="64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12,332</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14,603</w:t>
            </w:r>
          </w:p>
        </w:tc>
        <w:tc>
          <w:tcPr>
            <w:tcW w:w="58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10,800</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9,178</w:t>
            </w:r>
          </w:p>
        </w:tc>
        <w:tc>
          <w:tcPr>
            <w:tcW w:w="66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8,400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77,78</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10,100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120,24</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11,200</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110,89</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9D0267" w:rsidRPr="009D0267" w:rsidRDefault="009D0267" w:rsidP="009D0267">
            <w:pPr>
              <w:rPr>
                <w:sz w:val="13"/>
                <w:szCs w:val="13"/>
                <w:lang w:eastAsia="en-GB"/>
              </w:rPr>
            </w:pPr>
            <w:r w:rsidRPr="009D0267">
              <w:rPr>
                <w:sz w:val="13"/>
                <w:szCs w:val="13"/>
                <w:lang w:eastAsia="en-GB"/>
              </w:rPr>
              <w:t xml:space="preserve">  2.Transferi pojedincima</w:t>
            </w:r>
          </w:p>
        </w:tc>
        <w:tc>
          <w:tcPr>
            <w:tcW w:w="64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7,001</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8,172</w:t>
            </w:r>
          </w:p>
        </w:tc>
        <w:tc>
          <w:tcPr>
            <w:tcW w:w="58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3,531</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8,795</w:t>
            </w:r>
          </w:p>
        </w:tc>
        <w:tc>
          <w:tcPr>
            <w:tcW w:w="66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5,791</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164,00</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6,100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105,34</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6,200</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101,64</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9D0267" w:rsidRPr="009D0267" w:rsidRDefault="009D0267" w:rsidP="009D0267">
            <w:pPr>
              <w:rPr>
                <w:sz w:val="13"/>
                <w:szCs w:val="13"/>
                <w:lang w:eastAsia="en-GB"/>
              </w:rPr>
            </w:pPr>
            <w:r w:rsidRPr="009D0267">
              <w:rPr>
                <w:sz w:val="13"/>
                <w:szCs w:val="13"/>
                <w:lang w:eastAsia="en-GB"/>
              </w:rPr>
              <w:t xml:space="preserve">  3.Grantovi neprofitnim org.</w:t>
            </w:r>
          </w:p>
        </w:tc>
        <w:tc>
          <w:tcPr>
            <w:tcW w:w="64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5,825</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7,180</w:t>
            </w:r>
          </w:p>
        </w:tc>
        <w:tc>
          <w:tcPr>
            <w:tcW w:w="58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6,637</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7,734</w:t>
            </w:r>
          </w:p>
        </w:tc>
        <w:tc>
          <w:tcPr>
            <w:tcW w:w="66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5,500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82,87</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6,000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109,09</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6,500</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108,33</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9D0267" w:rsidRPr="009D0267" w:rsidRDefault="009D0267" w:rsidP="009D0267">
            <w:pPr>
              <w:rPr>
                <w:sz w:val="13"/>
                <w:szCs w:val="13"/>
                <w:lang w:eastAsia="en-GB"/>
              </w:rPr>
            </w:pPr>
            <w:r w:rsidRPr="009D0267">
              <w:rPr>
                <w:sz w:val="13"/>
                <w:szCs w:val="13"/>
                <w:lang w:eastAsia="en-GB"/>
              </w:rPr>
              <w:t xml:space="preserve">  4.Subvencije  JP i poduzetnicima</w:t>
            </w:r>
          </w:p>
        </w:tc>
        <w:tc>
          <w:tcPr>
            <w:tcW w:w="64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7,200</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12,500</w:t>
            </w:r>
          </w:p>
        </w:tc>
        <w:tc>
          <w:tcPr>
            <w:tcW w:w="58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11,714</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11,880</w:t>
            </w:r>
          </w:p>
        </w:tc>
        <w:tc>
          <w:tcPr>
            <w:tcW w:w="66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9,900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84,51</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8,900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89,90</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10,000</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112,36</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9D0267" w:rsidRPr="009D0267" w:rsidRDefault="009D0267" w:rsidP="009D0267">
            <w:pPr>
              <w:rPr>
                <w:sz w:val="13"/>
                <w:szCs w:val="13"/>
                <w:lang w:eastAsia="en-GB"/>
              </w:rPr>
            </w:pPr>
            <w:r w:rsidRPr="009D0267">
              <w:rPr>
                <w:sz w:val="13"/>
                <w:szCs w:val="13"/>
                <w:lang w:eastAsia="en-GB"/>
              </w:rPr>
              <w:t xml:space="preserve">  5.Ostali transferi</w:t>
            </w:r>
          </w:p>
        </w:tc>
        <w:tc>
          <w:tcPr>
            <w:tcW w:w="64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0,830</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3,241</w:t>
            </w:r>
          </w:p>
        </w:tc>
        <w:tc>
          <w:tcPr>
            <w:tcW w:w="58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3,227</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3,245</w:t>
            </w:r>
          </w:p>
        </w:tc>
        <w:tc>
          <w:tcPr>
            <w:tcW w:w="66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3,300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102,26</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4,500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136,36</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6,000</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133,33</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000000" w:fill="F2F2F2"/>
            <w:vAlign w:val="bottom"/>
            <w:hideMark/>
          </w:tcPr>
          <w:p w:rsidR="009D0267" w:rsidRPr="009D0267" w:rsidRDefault="009D0267" w:rsidP="009D0267">
            <w:pPr>
              <w:rPr>
                <w:sz w:val="13"/>
                <w:szCs w:val="13"/>
                <w:lang w:eastAsia="en-GB"/>
              </w:rPr>
            </w:pPr>
            <w:r w:rsidRPr="009D0267">
              <w:rPr>
                <w:sz w:val="13"/>
                <w:szCs w:val="13"/>
                <w:lang w:eastAsia="en-GB"/>
              </w:rPr>
              <w:t>IV Kapitalni grantovi</w:t>
            </w:r>
          </w:p>
        </w:tc>
        <w:tc>
          <w:tcPr>
            <w:tcW w:w="64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0,750</w:t>
            </w:r>
          </w:p>
        </w:tc>
        <w:tc>
          <w:tcPr>
            <w:tcW w:w="60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5,534</w:t>
            </w:r>
          </w:p>
        </w:tc>
        <w:tc>
          <w:tcPr>
            <w:tcW w:w="5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4,575</w:t>
            </w:r>
          </w:p>
        </w:tc>
        <w:tc>
          <w:tcPr>
            <w:tcW w:w="60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6,435</w:t>
            </w:r>
          </w:p>
        </w:tc>
        <w:tc>
          <w:tcPr>
            <w:tcW w:w="6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1,133</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24,77</w:t>
            </w:r>
          </w:p>
        </w:tc>
        <w:tc>
          <w:tcPr>
            <w:tcW w:w="62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1,300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114,74</w:t>
            </w:r>
          </w:p>
        </w:tc>
        <w:tc>
          <w:tcPr>
            <w:tcW w:w="62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2,000</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153,85</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000000" w:fill="F2F2F2"/>
            <w:vAlign w:val="bottom"/>
            <w:hideMark/>
          </w:tcPr>
          <w:p w:rsidR="009D0267" w:rsidRPr="009D0267" w:rsidRDefault="009D0267" w:rsidP="009D0267">
            <w:pPr>
              <w:rPr>
                <w:sz w:val="13"/>
                <w:szCs w:val="13"/>
                <w:lang w:eastAsia="en-GB"/>
              </w:rPr>
            </w:pPr>
            <w:r w:rsidRPr="009D0267">
              <w:rPr>
                <w:sz w:val="13"/>
                <w:szCs w:val="13"/>
                <w:lang w:eastAsia="en-GB"/>
              </w:rPr>
              <w:t>V Izdaci za kamate</w:t>
            </w:r>
          </w:p>
        </w:tc>
        <w:tc>
          <w:tcPr>
            <w:tcW w:w="64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0,975</w:t>
            </w:r>
          </w:p>
        </w:tc>
        <w:tc>
          <w:tcPr>
            <w:tcW w:w="60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1,066</w:t>
            </w:r>
          </w:p>
        </w:tc>
        <w:tc>
          <w:tcPr>
            <w:tcW w:w="5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1,058</w:t>
            </w:r>
          </w:p>
        </w:tc>
        <w:tc>
          <w:tcPr>
            <w:tcW w:w="60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0,976</w:t>
            </w:r>
          </w:p>
        </w:tc>
        <w:tc>
          <w:tcPr>
            <w:tcW w:w="6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0,976</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92,25</w:t>
            </w:r>
          </w:p>
        </w:tc>
        <w:tc>
          <w:tcPr>
            <w:tcW w:w="62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0,950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97,34</w:t>
            </w:r>
          </w:p>
        </w:tc>
        <w:tc>
          <w:tcPr>
            <w:tcW w:w="62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0,878</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92,42</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000000" w:fill="F2F2F2"/>
            <w:vAlign w:val="bottom"/>
            <w:hideMark/>
          </w:tcPr>
          <w:p w:rsidR="009D0267" w:rsidRPr="009D0267" w:rsidRDefault="009D0267" w:rsidP="009D0267">
            <w:pPr>
              <w:rPr>
                <w:sz w:val="13"/>
                <w:szCs w:val="13"/>
                <w:lang w:eastAsia="en-GB"/>
              </w:rPr>
            </w:pPr>
            <w:r w:rsidRPr="009D0267">
              <w:rPr>
                <w:sz w:val="13"/>
                <w:szCs w:val="13"/>
                <w:lang w:eastAsia="en-GB"/>
              </w:rPr>
              <w:t>VI Tekuća rezerva</w:t>
            </w:r>
          </w:p>
        </w:tc>
        <w:tc>
          <w:tcPr>
            <w:tcW w:w="64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0,099</w:t>
            </w:r>
          </w:p>
        </w:tc>
        <w:tc>
          <w:tcPr>
            <w:tcW w:w="60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0,200</w:t>
            </w:r>
          </w:p>
        </w:tc>
        <w:tc>
          <w:tcPr>
            <w:tcW w:w="5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0,200</w:t>
            </w:r>
          </w:p>
        </w:tc>
        <w:tc>
          <w:tcPr>
            <w:tcW w:w="60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0,200</w:t>
            </w:r>
          </w:p>
        </w:tc>
        <w:tc>
          <w:tcPr>
            <w:tcW w:w="6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0,100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50,00</w:t>
            </w:r>
          </w:p>
        </w:tc>
        <w:tc>
          <w:tcPr>
            <w:tcW w:w="62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0,150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150,00</w:t>
            </w:r>
          </w:p>
        </w:tc>
        <w:tc>
          <w:tcPr>
            <w:tcW w:w="62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0,150</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100,00</w:t>
            </w:r>
          </w:p>
        </w:tc>
      </w:tr>
      <w:tr w:rsidR="009D0267" w:rsidRPr="009D0267" w:rsidTr="009D0267">
        <w:trPr>
          <w:trHeight w:val="96"/>
        </w:trPr>
        <w:tc>
          <w:tcPr>
            <w:tcW w:w="2360" w:type="dxa"/>
            <w:tcBorders>
              <w:top w:val="nil"/>
              <w:left w:val="single" w:sz="4" w:space="0" w:color="auto"/>
              <w:bottom w:val="single" w:sz="4" w:space="0" w:color="auto"/>
              <w:right w:val="single" w:sz="4" w:space="0" w:color="auto"/>
            </w:tcBorders>
            <w:shd w:val="clear" w:color="000000" w:fill="F2F2F2"/>
            <w:vAlign w:val="bottom"/>
            <w:hideMark/>
          </w:tcPr>
          <w:p w:rsidR="009D0267" w:rsidRPr="009D0267" w:rsidRDefault="009D0267" w:rsidP="009D0267">
            <w:pPr>
              <w:rPr>
                <w:sz w:val="13"/>
                <w:szCs w:val="13"/>
                <w:lang w:eastAsia="en-GB"/>
              </w:rPr>
            </w:pPr>
            <w:r w:rsidRPr="009D0267">
              <w:rPr>
                <w:sz w:val="13"/>
                <w:szCs w:val="13"/>
                <w:lang w:eastAsia="en-GB"/>
              </w:rPr>
              <w:t> </w:t>
            </w:r>
          </w:p>
        </w:tc>
        <w:tc>
          <w:tcPr>
            <w:tcW w:w="5720" w:type="dxa"/>
            <w:gridSpan w:val="10"/>
            <w:tcBorders>
              <w:top w:val="single" w:sz="4" w:space="0" w:color="auto"/>
              <w:left w:val="nil"/>
              <w:bottom w:val="single" w:sz="4" w:space="0" w:color="auto"/>
              <w:right w:val="single" w:sz="4" w:space="0" w:color="000000"/>
            </w:tcBorders>
            <w:shd w:val="clear" w:color="000000" w:fill="F2F2F2"/>
            <w:vAlign w:val="bottom"/>
            <w:hideMark/>
          </w:tcPr>
          <w:p w:rsidR="009D0267" w:rsidRPr="009D0267" w:rsidRDefault="009D0267" w:rsidP="009D0267">
            <w:pPr>
              <w:jc w:val="center"/>
              <w:rPr>
                <w:sz w:val="14"/>
                <w:szCs w:val="14"/>
                <w:lang w:eastAsia="en-GB"/>
              </w:rPr>
            </w:pPr>
            <w:r w:rsidRPr="009D0267">
              <w:rPr>
                <w:sz w:val="14"/>
                <w:szCs w:val="14"/>
                <w:lang w:eastAsia="en-GB"/>
              </w:rPr>
              <w:t> </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000000" w:fill="FFFFFF"/>
            <w:vAlign w:val="bottom"/>
            <w:hideMark/>
          </w:tcPr>
          <w:p w:rsidR="009D0267" w:rsidRPr="009D0267" w:rsidRDefault="009D0267" w:rsidP="009D0267">
            <w:pPr>
              <w:rPr>
                <w:sz w:val="13"/>
                <w:szCs w:val="13"/>
                <w:lang w:eastAsia="en-GB"/>
              </w:rPr>
            </w:pPr>
            <w:r w:rsidRPr="009D0267">
              <w:rPr>
                <w:sz w:val="13"/>
                <w:szCs w:val="13"/>
                <w:lang w:eastAsia="en-GB"/>
              </w:rPr>
              <w:t>VII    IZDACI</w:t>
            </w:r>
          </w:p>
        </w:tc>
        <w:tc>
          <w:tcPr>
            <w:tcW w:w="640" w:type="dxa"/>
            <w:tcBorders>
              <w:top w:val="nil"/>
              <w:left w:val="nil"/>
              <w:bottom w:val="single" w:sz="4" w:space="0" w:color="auto"/>
              <w:right w:val="single" w:sz="4" w:space="0" w:color="auto"/>
            </w:tcBorders>
            <w:shd w:val="clear" w:color="000000" w:fill="FFFFFF"/>
            <w:vAlign w:val="bottom"/>
            <w:hideMark/>
          </w:tcPr>
          <w:p w:rsidR="009D0267" w:rsidRPr="009D0267" w:rsidRDefault="009D0267" w:rsidP="009D0267">
            <w:pPr>
              <w:jc w:val="right"/>
              <w:rPr>
                <w:sz w:val="14"/>
                <w:szCs w:val="14"/>
                <w:lang w:eastAsia="en-GB"/>
              </w:rPr>
            </w:pPr>
            <w:r w:rsidRPr="009D0267">
              <w:rPr>
                <w:sz w:val="14"/>
                <w:szCs w:val="14"/>
                <w:lang w:eastAsia="en-GB"/>
              </w:rPr>
              <w:t>8,664</w:t>
            </w:r>
          </w:p>
        </w:tc>
        <w:tc>
          <w:tcPr>
            <w:tcW w:w="600" w:type="dxa"/>
            <w:tcBorders>
              <w:top w:val="nil"/>
              <w:left w:val="nil"/>
              <w:bottom w:val="single" w:sz="4" w:space="0" w:color="auto"/>
              <w:right w:val="single" w:sz="4" w:space="0" w:color="auto"/>
            </w:tcBorders>
            <w:shd w:val="clear" w:color="000000" w:fill="FFFFFF"/>
            <w:vAlign w:val="bottom"/>
            <w:hideMark/>
          </w:tcPr>
          <w:p w:rsidR="009D0267" w:rsidRPr="009D0267" w:rsidRDefault="009D0267" w:rsidP="009D0267">
            <w:pPr>
              <w:jc w:val="right"/>
              <w:rPr>
                <w:sz w:val="14"/>
                <w:szCs w:val="14"/>
                <w:lang w:eastAsia="en-GB"/>
              </w:rPr>
            </w:pPr>
            <w:r w:rsidRPr="009D0267">
              <w:rPr>
                <w:sz w:val="14"/>
                <w:szCs w:val="14"/>
                <w:lang w:eastAsia="en-GB"/>
              </w:rPr>
              <w:t>13,637</w:t>
            </w:r>
          </w:p>
        </w:tc>
        <w:tc>
          <w:tcPr>
            <w:tcW w:w="580" w:type="dxa"/>
            <w:tcBorders>
              <w:top w:val="nil"/>
              <w:left w:val="nil"/>
              <w:bottom w:val="single" w:sz="4" w:space="0" w:color="auto"/>
              <w:right w:val="single" w:sz="4" w:space="0" w:color="auto"/>
            </w:tcBorders>
            <w:shd w:val="clear" w:color="000000" w:fill="FFFFFF"/>
            <w:vAlign w:val="bottom"/>
            <w:hideMark/>
          </w:tcPr>
          <w:p w:rsidR="009D0267" w:rsidRPr="009D0267" w:rsidRDefault="009D0267" w:rsidP="009D0267">
            <w:pPr>
              <w:jc w:val="right"/>
              <w:rPr>
                <w:sz w:val="14"/>
                <w:szCs w:val="14"/>
                <w:lang w:eastAsia="en-GB"/>
              </w:rPr>
            </w:pPr>
            <w:r w:rsidRPr="009D0267">
              <w:rPr>
                <w:sz w:val="14"/>
                <w:szCs w:val="14"/>
                <w:lang w:eastAsia="en-GB"/>
              </w:rPr>
              <w:t>9,310</w:t>
            </w:r>
          </w:p>
        </w:tc>
        <w:tc>
          <w:tcPr>
            <w:tcW w:w="600" w:type="dxa"/>
            <w:tcBorders>
              <w:top w:val="nil"/>
              <w:left w:val="nil"/>
              <w:bottom w:val="single" w:sz="4" w:space="0" w:color="auto"/>
              <w:right w:val="single" w:sz="4" w:space="0" w:color="auto"/>
            </w:tcBorders>
            <w:shd w:val="clear" w:color="000000" w:fill="FFFFFF"/>
            <w:vAlign w:val="bottom"/>
            <w:hideMark/>
          </w:tcPr>
          <w:p w:rsidR="009D0267" w:rsidRPr="009D0267" w:rsidRDefault="009D0267" w:rsidP="009D0267">
            <w:pPr>
              <w:jc w:val="right"/>
              <w:rPr>
                <w:sz w:val="14"/>
                <w:szCs w:val="14"/>
                <w:lang w:eastAsia="en-GB"/>
              </w:rPr>
            </w:pPr>
            <w:r w:rsidRPr="009D0267">
              <w:rPr>
                <w:sz w:val="14"/>
                <w:szCs w:val="14"/>
                <w:lang w:eastAsia="en-GB"/>
              </w:rPr>
              <w:t>12,198</w:t>
            </w:r>
          </w:p>
        </w:tc>
        <w:tc>
          <w:tcPr>
            <w:tcW w:w="660" w:type="dxa"/>
            <w:tcBorders>
              <w:top w:val="nil"/>
              <w:left w:val="nil"/>
              <w:bottom w:val="single" w:sz="4" w:space="0" w:color="auto"/>
              <w:right w:val="single" w:sz="4" w:space="0" w:color="auto"/>
            </w:tcBorders>
            <w:shd w:val="clear" w:color="000000" w:fill="FFFFFF"/>
            <w:vAlign w:val="bottom"/>
            <w:hideMark/>
          </w:tcPr>
          <w:p w:rsidR="009D0267" w:rsidRPr="009D0267" w:rsidRDefault="009D0267" w:rsidP="009D0267">
            <w:pPr>
              <w:jc w:val="right"/>
              <w:rPr>
                <w:sz w:val="14"/>
                <w:szCs w:val="14"/>
                <w:lang w:eastAsia="en-GB"/>
              </w:rPr>
            </w:pPr>
            <w:r w:rsidRPr="009D0267">
              <w:rPr>
                <w:sz w:val="14"/>
                <w:szCs w:val="14"/>
                <w:lang w:eastAsia="en-GB"/>
              </w:rPr>
              <w:t>7,820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84,00</w:t>
            </w:r>
          </w:p>
        </w:tc>
        <w:tc>
          <w:tcPr>
            <w:tcW w:w="620" w:type="dxa"/>
            <w:tcBorders>
              <w:top w:val="nil"/>
              <w:left w:val="nil"/>
              <w:bottom w:val="single" w:sz="4" w:space="0" w:color="auto"/>
              <w:right w:val="single" w:sz="4" w:space="0" w:color="auto"/>
            </w:tcBorders>
            <w:shd w:val="clear" w:color="000000" w:fill="FFFFFF"/>
            <w:vAlign w:val="bottom"/>
            <w:hideMark/>
          </w:tcPr>
          <w:p w:rsidR="009D0267" w:rsidRPr="009D0267" w:rsidRDefault="009D0267" w:rsidP="009D0267">
            <w:pPr>
              <w:jc w:val="right"/>
              <w:rPr>
                <w:sz w:val="14"/>
                <w:szCs w:val="14"/>
                <w:lang w:eastAsia="en-GB"/>
              </w:rPr>
            </w:pPr>
            <w:r w:rsidRPr="009D0267">
              <w:rPr>
                <w:sz w:val="14"/>
                <w:szCs w:val="14"/>
                <w:lang w:eastAsia="en-GB"/>
              </w:rPr>
              <w:t>8,700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111,25</w:t>
            </w:r>
          </w:p>
        </w:tc>
        <w:tc>
          <w:tcPr>
            <w:tcW w:w="620" w:type="dxa"/>
            <w:tcBorders>
              <w:top w:val="nil"/>
              <w:left w:val="nil"/>
              <w:bottom w:val="single" w:sz="4" w:space="0" w:color="auto"/>
              <w:right w:val="single" w:sz="4" w:space="0" w:color="auto"/>
            </w:tcBorders>
            <w:shd w:val="clear" w:color="000000" w:fill="FFFFFF"/>
            <w:vAlign w:val="bottom"/>
            <w:hideMark/>
          </w:tcPr>
          <w:p w:rsidR="009D0267" w:rsidRPr="009D0267" w:rsidRDefault="009D0267" w:rsidP="009D0267">
            <w:pPr>
              <w:jc w:val="right"/>
              <w:rPr>
                <w:sz w:val="14"/>
                <w:szCs w:val="14"/>
                <w:lang w:eastAsia="en-GB"/>
              </w:rPr>
            </w:pPr>
            <w:r w:rsidRPr="009D0267">
              <w:rPr>
                <w:sz w:val="14"/>
                <w:szCs w:val="14"/>
                <w:lang w:eastAsia="en-GB"/>
              </w:rPr>
              <w:t>8,700</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100,00</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9D0267" w:rsidRPr="009D0267" w:rsidRDefault="009D0267" w:rsidP="009D0267">
            <w:pPr>
              <w:rPr>
                <w:sz w:val="13"/>
                <w:szCs w:val="13"/>
                <w:lang w:eastAsia="en-GB"/>
              </w:rPr>
            </w:pPr>
            <w:r w:rsidRPr="009D0267">
              <w:rPr>
                <w:sz w:val="13"/>
                <w:szCs w:val="13"/>
                <w:lang w:eastAsia="en-GB"/>
              </w:rPr>
              <w:t xml:space="preserve">1.Nabavka stalnih sredstava </w:t>
            </w:r>
          </w:p>
        </w:tc>
        <w:tc>
          <w:tcPr>
            <w:tcW w:w="64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3,062</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8,633</w:t>
            </w:r>
          </w:p>
        </w:tc>
        <w:tc>
          <w:tcPr>
            <w:tcW w:w="58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4,460</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6,977</w:t>
            </w:r>
          </w:p>
        </w:tc>
        <w:tc>
          <w:tcPr>
            <w:tcW w:w="66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2,799</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62,76</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3,000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107,18</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3,000</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100,00</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9D0267" w:rsidRPr="009D0267" w:rsidRDefault="009D0267" w:rsidP="009D0267">
            <w:pPr>
              <w:rPr>
                <w:sz w:val="13"/>
                <w:szCs w:val="13"/>
                <w:lang w:eastAsia="en-GB"/>
              </w:rPr>
            </w:pPr>
            <w:r w:rsidRPr="009D0267">
              <w:rPr>
                <w:sz w:val="13"/>
                <w:szCs w:val="13"/>
                <w:lang w:eastAsia="en-GB"/>
              </w:rPr>
              <w:t>2.Izdaci za financijsku imovinu</w:t>
            </w:r>
          </w:p>
        </w:tc>
        <w:tc>
          <w:tcPr>
            <w:tcW w:w="64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0,100</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0,100</w:t>
            </w:r>
          </w:p>
        </w:tc>
        <w:tc>
          <w:tcPr>
            <w:tcW w:w="58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0,100</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0,500</w:t>
            </w:r>
          </w:p>
        </w:tc>
        <w:tc>
          <w:tcPr>
            <w:tcW w:w="66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0,300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300,00</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1,000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333,33</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1,000</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100,00</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auto" w:fill="auto"/>
            <w:vAlign w:val="bottom"/>
            <w:hideMark/>
          </w:tcPr>
          <w:p w:rsidR="009D0267" w:rsidRPr="009D0267" w:rsidRDefault="009D0267" w:rsidP="009D0267">
            <w:pPr>
              <w:rPr>
                <w:sz w:val="13"/>
                <w:szCs w:val="13"/>
                <w:lang w:eastAsia="en-GB"/>
              </w:rPr>
            </w:pPr>
            <w:r w:rsidRPr="009D0267">
              <w:rPr>
                <w:sz w:val="13"/>
                <w:szCs w:val="13"/>
                <w:lang w:eastAsia="en-GB"/>
              </w:rPr>
              <w:t>3.Izdaci za oplatu duga</w:t>
            </w:r>
          </w:p>
        </w:tc>
        <w:tc>
          <w:tcPr>
            <w:tcW w:w="64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5,502</w:t>
            </w:r>
          </w:p>
        </w:tc>
        <w:tc>
          <w:tcPr>
            <w:tcW w:w="60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4,904</w:t>
            </w:r>
          </w:p>
        </w:tc>
        <w:tc>
          <w:tcPr>
            <w:tcW w:w="580" w:type="dxa"/>
            <w:tcBorders>
              <w:top w:val="nil"/>
              <w:left w:val="nil"/>
              <w:bottom w:val="nil"/>
              <w:right w:val="nil"/>
            </w:tcBorders>
            <w:shd w:val="clear" w:color="auto" w:fill="auto"/>
            <w:noWrap/>
            <w:vAlign w:val="bottom"/>
            <w:hideMark/>
          </w:tcPr>
          <w:p w:rsidR="009D0267" w:rsidRPr="009D0267" w:rsidRDefault="009D0267" w:rsidP="009D0267">
            <w:pPr>
              <w:jc w:val="right"/>
              <w:rPr>
                <w:sz w:val="14"/>
                <w:szCs w:val="14"/>
                <w:lang w:eastAsia="en-GB"/>
              </w:rPr>
            </w:pPr>
            <w:r w:rsidRPr="009D0267">
              <w:rPr>
                <w:sz w:val="14"/>
                <w:szCs w:val="14"/>
                <w:lang w:eastAsia="en-GB"/>
              </w:rPr>
              <w:t>4,750</w:t>
            </w:r>
          </w:p>
        </w:tc>
        <w:tc>
          <w:tcPr>
            <w:tcW w:w="600" w:type="dxa"/>
            <w:tcBorders>
              <w:top w:val="nil"/>
              <w:left w:val="nil"/>
              <w:bottom w:val="nil"/>
              <w:right w:val="nil"/>
            </w:tcBorders>
            <w:shd w:val="clear" w:color="auto" w:fill="auto"/>
            <w:noWrap/>
            <w:vAlign w:val="bottom"/>
            <w:hideMark/>
          </w:tcPr>
          <w:p w:rsidR="009D0267" w:rsidRPr="009D0267" w:rsidRDefault="009D0267" w:rsidP="009D0267">
            <w:pPr>
              <w:jc w:val="right"/>
              <w:rPr>
                <w:sz w:val="14"/>
                <w:szCs w:val="14"/>
                <w:lang w:eastAsia="en-GB"/>
              </w:rPr>
            </w:pPr>
            <w:r w:rsidRPr="009D0267">
              <w:rPr>
                <w:sz w:val="14"/>
                <w:szCs w:val="14"/>
                <w:lang w:eastAsia="en-GB"/>
              </w:rPr>
              <w:t>4,721</w:t>
            </w:r>
          </w:p>
        </w:tc>
        <w:tc>
          <w:tcPr>
            <w:tcW w:w="660" w:type="dxa"/>
            <w:tcBorders>
              <w:top w:val="nil"/>
              <w:left w:val="single" w:sz="4" w:space="0" w:color="auto"/>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4,721</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99,39</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4,700</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99,56</w:t>
            </w:r>
          </w:p>
        </w:tc>
        <w:tc>
          <w:tcPr>
            <w:tcW w:w="620" w:type="dxa"/>
            <w:tcBorders>
              <w:top w:val="nil"/>
              <w:left w:val="nil"/>
              <w:bottom w:val="single" w:sz="4" w:space="0" w:color="auto"/>
              <w:right w:val="single" w:sz="4" w:space="0" w:color="auto"/>
            </w:tcBorders>
            <w:shd w:val="clear" w:color="auto" w:fill="auto"/>
            <w:vAlign w:val="bottom"/>
            <w:hideMark/>
          </w:tcPr>
          <w:p w:rsidR="009D0267" w:rsidRPr="009D0267" w:rsidRDefault="009D0267" w:rsidP="009D0267">
            <w:pPr>
              <w:jc w:val="right"/>
              <w:rPr>
                <w:sz w:val="14"/>
                <w:szCs w:val="14"/>
                <w:lang w:eastAsia="en-GB"/>
              </w:rPr>
            </w:pPr>
            <w:r w:rsidRPr="009D0267">
              <w:rPr>
                <w:sz w:val="14"/>
                <w:szCs w:val="14"/>
                <w:lang w:eastAsia="en-GB"/>
              </w:rPr>
              <w:t>4,700</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100,00</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000000" w:fill="F2F2F2"/>
            <w:vAlign w:val="bottom"/>
            <w:hideMark/>
          </w:tcPr>
          <w:p w:rsidR="009D0267" w:rsidRPr="009D0267" w:rsidRDefault="009D0267" w:rsidP="009D0267">
            <w:pPr>
              <w:rPr>
                <w:sz w:val="13"/>
                <w:szCs w:val="13"/>
                <w:lang w:eastAsia="en-GB"/>
              </w:rPr>
            </w:pPr>
            <w:r w:rsidRPr="009D0267">
              <w:rPr>
                <w:sz w:val="13"/>
                <w:szCs w:val="13"/>
                <w:lang w:eastAsia="en-GB"/>
              </w:rPr>
              <w:t>UKUPNI RASHODI I IZDACI</w:t>
            </w:r>
          </w:p>
        </w:tc>
        <w:tc>
          <w:tcPr>
            <w:tcW w:w="640" w:type="dxa"/>
            <w:tcBorders>
              <w:top w:val="nil"/>
              <w:left w:val="nil"/>
              <w:bottom w:val="single" w:sz="4" w:space="0" w:color="auto"/>
              <w:right w:val="single" w:sz="4" w:space="0" w:color="auto"/>
            </w:tcBorders>
            <w:shd w:val="clear" w:color="000000" w:fill="F2F2F2"/>
            <w:vAlign w:val="bottom"/>
            <w:hideMark/>
          </w:tcPr>
          <w:p w:rsidR="009D0267" w:rsidRPr="00EC7B7C" w:rsidRDefault="009D0267" w:rsidP="009D0267">
            <w:pPr>
              <w:jc w:val="right"/>
              <w:rPr>
                <w:sz w:val="14"/>
                <w:szCs w:val="14"/>
                <w:lang w:eastAsia="en-GB"/>
              </w:rPr>
            </w:pPr>
            <w:r w:rsidRPr="00EC7B7C">
              <w:rPr>
                <w:sz w:val="14"/>
                <w:szCs w:val="14"/>
                <w:lang w:eastAsia="en-GB"/>
              </w:rPr>
              <w:t>200,019</w:t>
            </w:r>
          </w:p>
        </w:tc>
        <w:tc>
          <w:tcPr>
            <w:tcW w:w="600" w:type="dxa"/>
            <w:tcBorders>
              <w:top w:val="nil"/>
              <w:left w:val="nil"/>
              <w:bottom w:val="single" w:sz="4" w:space="0" w:color="auto"/>
              <w:right w:val="single" w:sz="4" w:space="0" w:color="auto"/>
            </w:tcBorders>
            <w:shd w:val="clear" w:color="000000" w:fill="F2F2F2"/>
            <w:vAlign w:val="bottom"/>
            <w:hideMark/>
          </w:tcPr>
          <w:p w:rsidR="009D0267" w:rsidRPr="00EC7B7C" w:rsidRDefault="009D0267" w:rsidP="009D0267">
            <w:pPr>
              <w:jc w:val="right"/>
              <w:rPr>
                <w:sz w:val="14"/>
                <w:szCs w:val="14"/>
                <w:lang w:eastAsia="en-GB"/>
              </w:rPr>
            </w:pPr>
            <w:r w:rsidRPr="00EC7B7C">
              <w:rPr>
                <w:sz w:val="14"/>
                <w:szCs w:val="14"/>
                <w:lang w:eastAsia="en-GB"/>
              </w:rPr>
              <w:t>233,426</w:t>
            </w:r>
          </w:p>
        </w:tc>
        <w:tc>
          <w:tcPr>
            <w:tcW w:w="580" w:type="dxa"/>
            <w:tcBorders>
              <w:top w:val="single" w:sz="4" w:space="0" w:color="auto"/>
              <w:left w:val="nil"/>
              <w:bottom w:val="single" w:sz="4" w:space="0" w:color="auto"/>
              <w:right w:val="single" w:sz="4" w:space="0" w:color="auto"/>
            </w:tcBorders>
            <w:shd w:val="clear" w:color="000000" w:fill="F2F2F2"/>
            <w:vAlign w:val="bottom"/>
            <w:hideMark/>
          </w:tcPr>
          <w:p w:rsidR="009D0267" w:rsidRPr="00EC7B7C" w:rsidRDefault="009D0267" w:rsidP="009D0267">
            <w:pPr>
              <w:jc w:val="right"/>
              <w:rPr>
                <w:sz w:val="14"/>
                <w:szCs w:val="14"/>
                <w:lang w:eastAsia="en-GB"/>
              </w:rPr>
            </w:pPr>
            <w:r w:rsidRPr="00EC7B7C">
              <w:rPr>
                <w:sz w:val="14"/>
                <w:szCs w:val="14"/>
                <w:lang w:eastAsia="en-GB"/>
              </w:rPr>
              <w:t>211,428</w:t>
            </w:r>
          </w:p>
        </w:tc>
        <w:tc>
          <w:tcPr>
            <w:tcW w:w="600" w:type="dxa"/>
            <w:tcBorders>
              <w:top w:val="single" w:sz="4" w:space="0" w:color="auto"/>
              <w:left w:val="nil"/>
              <w:bottom w:val="single" w:sz="4" w:space="0" w:color="auto"/>
              <w:right w:val="single" w:sz="4" w:space="0" w:color="auto"/>
            </w:tcBorders>
            <w:shd w:val="clear" w:color="000000" w:fill="F2F2F2"/>
            <w:vAlign w:val="bottom"/>
            <w:hideMark/>
          </w:tcPr>
          <w:p w:rsidR="009D0267" w:rsidRPr="00EC7B7C" w:rsidRDefault="009D0267" w:rsidP="009D0267">
            <w:pPr>
              <w:jc w:val="right"/>
              <w:rPr>
                <w:sz w:val="14"/>
                <w:szCs w:val="14"/>
                <w:lang w:eastAsia="en-GB"/>
              </w:rPr>
            </w:pPr>
            <w:r w:rsidRPr="00EC7B7C">
              <w:rPr>
                <w:sz w:val="14"/>
                <w:szCs w:val="14"/>
                <w:lang w:eastAsia="en-GB"/>
              </w:rPr>
              <w:t>232,971</w:t>
            </w:r>
          </w:p>
        </w:tc>
        <w:tc>
          <w:tcPr>
            <w:tcW w:w="6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200,953</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95,05</w:t>
            </w:r>
          </w:p>
        </w:tc>
        <w:tc>
          <w:tcPr>
            <w:tcW w:w="62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206,007</w:t>
            </w:r>
          </w:p>
        </w:tc>
        <w:tc>
          <w:tcPr>
            <w:tcW w:w="46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102,52</w:t>
            </w:r>
          </w:p>
        </w:tc>
        <w:tc>
          <w:tcPr>
            <w:tcW w:w="62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214,028</w:t>
            </w:r>
          </w:p>
        </w:tc>
        <w:tc>
          <w:tcPr>
            <w:tcW w:w="480" w:type="dxa"/>
            <w:tcBorders>
              <w:top w:val="nil"/>
              <w:left w:val="nil"/>
              <w:bottom w:val="single" w:sz="4" w:space="0" w:color="auto"/>
              <w:right w:val="single" w:sz="4" w:space="0" w:color="auto"/>
            </w:tcBorders>
            <w:shd w:val="clear" w:color="000000" w:fill="F2F2F2"/>
            <w:vAlign w:val="bottom"/>
            <w:hideMark/>
          </w:tcPr>
          <w:p w:rsidR="009D0267" w:rsidRPr="009D0267" w:rsidRDefault="009D0267" w:rsidP="009D0267">
            <w:pPr>
              <w:jc w:val="right"/>
              <w:rPr>
                <w:sz w:val="14"/>
                <w:szCs w:val="14"/>
                <w:lang w:eastAsia="en-GB"/>
              </w:rPr>
            </w:pPr>
            <w:r w:rsidRPr="009D0267">
              <w:rPr>
                <w:sz w:val="14"/>
                <w:szCs w:val="14"/>
                <w:lang w:eastAsia="en-GB"/>
              </w:rPr>
              <w:t>103,89</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9D0267" w:rsidRPr="009D0267" w:rsidRDefault="009D0267" w:rsidP="009D0267">
            <w:pPr>
              <w:rPr>
                <w:rFonts w:ascii="Arial" w:hAnsi="Arial" w:cs="Arial"/>
                <w:sz w:val="13"/>
                <w:szCs w:val="13"/>
                <w:lang w:eastAsia="en-GB"/>
              </w:rPr>
            </w:pPr>
            <w:r w:rsidRPr="009D0267">
              <w:rPr>
                <w:rFonts w:ascii="Arial" w:hAnsi="Arial" w:cs="Arial"/>
                <w:sz w:val="13"/>
                <w:szCs w:val="13"/>
                <w:lang w:eastAsia="en-GB"/>
              </w:rPr>
              <w:t>Stare obaveze</w:t>
            </w:r>
          </w:p>
        </w:tc>
        <w:tc>
          <w:tcPr>
            <w:tcW w:w="64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rPr>
                <w:rFonts w:ascii="Arial" w:hAnsi="Arial" w:cs="Arial"/>
                <w:sz w:val="13"/>
                <w:szCs w:val="13"/>
                <w:lang w:eastAsia="en-GB"/>
              </w:rPr>
            </w:pPr>
            <w:r w:rsidRPr="009D0267">
              <w:rPr>
                <w:rFonts w:ascii="Arial" w:hAnsi="Arial" w:cs="Arial"/>
                <w:sz w:val="13"/>
                <w:szCs w:val="13"/>
                <w:lang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jc w:val="right"/>
              <w:rPr>
                <w:rFonts w:ascii="Arial" w:hAnsi="Arial" w:cs="Arial"/>
                <w:sz w:val="13"/>
                <w:szCs w:val="13"/>
                <w:lang w:eastAsia="en-GB"/>
              </w:rPr>
            </w:pPr>
            <w:r w:rsidRPr="009D0267">
              <w:rPr>
                <w:rFonts w:ascii="Arial" w:hAnsi="Arial" w:cs="Arial"/>
                <w:sz w:val="13"/>
                <w:szCs w:val="13"/>
                <w:lang w:eastAsia="en-GB"/>
              </w:rPr>
              <w:t>5,10</w:t>
            </w:r>
          </w:p>
        </w:tc>
        <w:tc>
          <w:tcPr>
            <w:tcW w:w="58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jc w:val="right"/>
              <w:rPr>
                <w:rFonts w:ascii="Arial" w:hAnsi="Arial" w:cs="Arial"/>
                <w:sz w:val="13"/>
                <w:szCs w:val="13"/>
                <w:lang w:eastAsia="en-GB"/>
              </w:rPr>
            </w:pPr>
            <w:r w:rsidRPr="009D0267">
              <w:rPr>
                <w:rFonts w:ascii="Arial" w:hAnsi="Arial" w:cs="Arial"/>
                <w:sz w:val="13"/>
                <w:szCs w:val="13"/>
                <w:lang w:eastAsia="en-GB"/>
              </w:rPr>
              <w:t>5,10</w:t>
            </w:r>
          </w:p>
        </w:tc>
        <w:tc>
          <w:tcPr>
            <w:tcW w:w="60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jc w:val="right"/>
              <w:rPr>
                <w:rFonts w:ascii="Arial" w:hAnsi="Arial" w:cs="Arial"/>
                <w:sz w:val="13"/>
                <w:szCs w:val="13"/>
                <w:lang w:eastAsia="en-GB"/>
              </w:rPr>
            </w:pPr>
            <w:r w:rsidRPr="009D0267">
              <w:rPr>
                <w:rFonts w:ascii="Arial" w:hAnsi="Arial" w:cs="Arial"/>
                <w:sz w:val="13"/>
                <w:szCs w:val="13"/>
                <w:lang w:eastAsia="en-GB"/>
              </w:rPr>
              <w:t>5,10</w:t>
            </w:r>
          </w:p>
        </w:tc>
        <w:tc>
          <w:tcPr>
            <w:tcW w:w="66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jc w:val="right"/>
              <w:rPr>
                <w:rFonts w:ascii="Arial" w:hAnsi="Arial" w:cs="Arial"/>
                <w:sz w:val="13"/>
                <w:szCs w:val="13"/>
                <w:lang w:eastAsia="en-GB"/>
              </w:rPr>
            </w:pPr>
            <w:r w:rsidRPr="009D0267">
              <w:rPr>
                <w:rFonts w:ascii="Arial" w:hAnsi="Arial" w:cs="Arial"/>
                <w:sz w:val="13"/>
                <w:szCs w:val="13"/>
                <w:lang w:eastAsia="en-GB"/>
              </w:rPr>
              <w:t>6,00</w:t>
            </w:r>
          </w:p>
        </w:tc>
        <w:tc>
          <w:tcPr>
            <w:tcW w:w="46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jc w:val="right"/>
              <w:rPr>
                <w:rFonts w:ascii="Arial" w:hAnsi="Arial" w:cs="Arial"/>
                <w:sz w:val="13"/>
                <w:szCs w:val="13"/>
                <w:lang w:eastAsia="en-GB"/>
              </w:rPr>
            </w:pPr>
            <w:r w:rsidRPr="009D0267">
              <w:rPr>
                <w:rFonts w:ascii="Arial" w:hAnsi="Arial" w:cs="Arial"/>
                <w:sz w:val="13"/>
                <w:szCs w:val="13"/>
                <w:lang w:eastAsia="en-GB"/>
              </w:rPr>
              <w:t>117,65</w:t>
            </w:r>
          </w:p>
        </w:tc>
        <w:tc>
          <w:tcPr>
            <w:tcW w:w="62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jc w:val="right"/>
              <w:rPr>
                <w:rFonts w:ascii="Arial" w:hAnsi="Arial" w:cs="Arial"/>
                <w:sz w:val="13"/>
                <w:szCs w:val="13"/>
                <w:lang w:eastAsia="en-GB"/>
              </w:rPr>
            </w:pPr>
            <w:r w:rsidRPr="009D0267">
              <w:rPr>
                <w:rFonts w:ascii="Arial" w:hAnsi="Arial" w:cs="Arial"/>
                <w:sz w:val="13"/>
                <w:szCs w:val="13"/>
                <w:lang w:eastAsia="en-GB"/>
              </w:rPr>
              <w:t>6,00</w:t>
            </w:r>
          </w:p>
        </w:tc>
        <w:tc>
          <w:tcPr>
            <w:tcW w:w="46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jc w:val="right"/>
              <w:rPr>
                <w:rFonts w:ascii="Arial" w:hAnsi="Arial" w:cs="Arial"/>
                <w:sz w:val="13"/>
                <w:szCs w:val="13"/>
                <w:lang w:eastAsia="en-GB"/>
              </w:rPr>
            </w:pPr>
            <w:r w:rsidRPr="009D0267">
              <w:rPr>
                <w:rFonts w:ascii="Arial" w:hAnsi="Arial" w:cs="Arial"/>
                <w:sz w:val="13"/>
                <w:szCs w:val="13"/>
                <w:lang w:eastAsia="en-GB"/>
              </w:rPr>
              <w:t>100,00</w:t>
            </w:r>
          </w:p>
        </w:tc>
        <w:tc>
          <w:tcPr>
            <w:tcW w:w="62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jc w:val="right"/>
              <w:rPr>
                <w:rFonts w:ascii="Arial" w:hAnsi="Arial" w:cs="Arial"/>
                <w:sz w:val="13"/>
                <w:szCs w:val="13"/>
                <w:lang w:eastAsia="en-GB"/>
              </w:rPr>
            </w:pPr>
            <w:r w:rsidRPr="009D0267">
              <w:rPr>
                <w:rFonts w:ascii="Arial" w:hAnsi="Arial" w:cs="Arial"/>
                <w:sz w:val="13"/>
                <w:szCs w:val="13"/>
                <w:lang w:eastAsia="en-GB"/>
              </w:rPr>
              <w:t>6,00</w:t>
            </w:r>
          </w:p>
        </w:tc>
        <w:tc>
          <w:tcPr>
            <w:tcW w:w="48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jc w:val="right"/>
              <w:rPr>
                <w:rFonts w:ascii="Arial" w:hAnsi="Arial" w:cs="Arial"/>
                <w:sz w:val="13"/>
                <w:szCs w:val="13"/>
                <w:lang w:eastAsia="en-GB"/>
              </w:rPr>
            </w:pPr>
            <w:r w:rsidRPr="009D0267">
              <w:rPr>
                <w:rFonts w:ascii="Arial" w:hAnsi="Arial" w:cs="Arial"/>
                <w:sz w:val="13"/>
                <w:szCs w:val="13"/>
                <w:lang w:eastAsia="en-GB"/>
              </w:rPr>
              <w:t>100,00</w:t>
            </w:r>
          </w:p>
        </w:tc>
      </w:tr>
      <w:tr w:rsidR="009D0267" w:rsidRPr="009D0267" w:rsidTr="009D0267">
        <w:trPr>
          <w:trHeight w:val="264"/>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9D0267" w:rsidRPr="009D0267" w:rsidRDefault="009D0267" w:rsidP="009D0267">
            <w:pPr>
              <w:rPr>
                <w:rFonts w:ascii="Arial" w:hAnsi="Arial" w:cs="Arial"/>
                <w:b/>
                <w:bCs/>
                <w:sz w:val="13"/>
                <w:szCs w:val="13"/>
                <w:lang w:eastAsia="en-GB"/>
              </w:rPr>
            </w:pPr>
            <w:r w:rsidRPr="009D0267">
              <w:rPr>
                <w:rFonts w:ascii="Arial" w:hAnsi="Arial" w:cs="Arial"/>
                <w:b/>
                <w:bCs/>
                <w:sz w:val="13"/>
                <w:szCs w:val="13"/>
                <w:lang w:eastAsia="en-GB"/>
              </w:rPr>
              <w:lastRenderedPageBreak/>
              <w:t>Sveukupno</w:t>
            </w:r>
          </w:p>
        </w:tc>
        <w:tc>
          <w:tcPr>
            <w:tcW w:w="640" w:type="dxa"/>
            <w:tcBorders>
              <w:top w:val="nil"/>
              <w:left w:val="nil"/>
              <w:bottom w:val="single" w:sz="4" w:space="0" w:color="auto"/>
              <w:right w:val="single" w:sz="4" w:space="0" w:color="auto"/>
            </w:tcBorders>
            <w:shd w:val="clear" w:color="auto" w:fill="auto"/>
            <w:noWrap/>
            <w:vAlign w:val="bottom"/>
            <w:hideMark/>
          </w:tcPr>
          <w:p w:rsidR="009D0267" w:rsidRPr="00EC7B7C" w:rsidRDefault="009D0267" w:rsidP="009D0267">
            <w:pPr>
              <w:jc w:val="right"/>
              <w:rPr>
                <w:rFonts w:ascii="Arial" w:hAnsi="Arial" w:cs="Arial"/>
                <w:b/>
                <w:bCs/>
                <w:sz w:val="13"/>
                <w:szCs w:val="13"/>
                <w:lang w:eastAsia="en-GB"/>
              </w:rPr>
            </w:pPr>
            <w:r w:rsidRPr="00EC7B7C">
              <w:rPr>
                <w:rFonts w:ascii="Arial" w:hAnsi="Arial" w:cs="Arial"/>
                <w:b/>
                <w:bCs/>
                <w:sz w:val="13"/>
                <w:szCs w:val="13"/>
                <w:lang w:eastAsia="en-GB"/>
              </w:rPr>
              <w:t>200,019</w:t>
            </w:r>
          </w:p>
        </w:tc>
        <w:tc>
          <w:tcPr>
            <w:tcW w:w="600" w:type="dxa"/>
            <w:tcBorders>
              <w:top w:val="nil"/>
              <w:left w:val="nil"/>
              <w:bottom w:val="single" w:sz="4" w:space="0" w:color="auto"/>
              <w:right w:val="single" w:sz="4" w:space="0" w:color="auto"/>
            </w:tcBorders>
            <w:shd w:val="clear" w:color="auto" w:fill="auto"/>
            <w:noWrap/>
            <w:vAlign w:val="bottom"/>
            <w:hideMark/>
          </w:tcPr>
          <w:p w:rsidR="009D0267" w:rsidRPr="00EC7B7C" w:rsidRDefault="009D0267" w:rsidP="009D0267">
            <w:pPr>
              <w:jc w:val="right"/>
              <w:rPr>
                <w:rFonts w:ascii="Arial" w:hAnsi="Arial" w:cs="Arial"/>
                <w:b/>
                <w:bCs/>
                <w:sz w:val="13"/>
                <w:szCs w:val="13"/>
                <w:lang w:eastAsia="en-GB"/>
              </w:rPr>
            </w:pPr>
            <w:r w:rsidRPr="00EC7B7C">
              <w:rPr>
                <w:rFonts w:ascii="Arial" w:hAnsi="Arial" w:cs="Arial"/>
                <w:b/>
                <w:bCs/>
                <w:sz w:val="13"/>
                <w:szCs w:val="13"/>
                <w:lang w:eastAsia="en-GB"/>
              </w:rPr>
              <w:t>238,526</w:t>
            </w:r>
          </w:p>
        </w:tc>
        <w:tc>
          <w:tcPr>
            <w:tcW w:w="58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jc w:val="right"/>
              <w:rPr>
                <w:rFonts w:ascii="Arial" w:hAnsi="Arial" w:cs="Arial"/>
                <w:sz w:val="13"/>
                <w:szCs w:val="13"/>
                <w:lang w:eastAsia="en-GB"/>
              </w:rPr>
            </w:pPr>
            <w:r w:rsidRPr="009D0267">
              <w:rPr>
                <w:rFonts w:ascii="Arial" w:hAnsi="Arial" w:cs="Arial"/>
                <w:sz w:val="13"/>
                <w:szCs w:val="13"/>
                <w:lang w:eastAsia="en-GB"/>
              </w:rPr>
              <w:t>216,528</w:t>
            </w:r>
          </w:p>
        </w:tc>
        <w:tc>
          <w:tcPr>
            <w:tcW w:w="60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jc w:val="right"/>
              <w:rPr>
                <w:rFonts w:ascii="Arial" w:hAnsi="Arial" w:cs="Arial"/>
                <w:sz w:val="13"/>
                <w:szCs w:val="13"/>
                <w:lang w:eastAsia="en-GB"/>
              </w:rPr>
            </w:pPr>
            <w:r w:rsidRPr="009D0267">
              <w:rPr>
                <w:rFonts w:ascii="Arial" w:hAnsi="Arial" w:cs="Arial"/>
                <w:sz w:val="13"/>
                <w:szCs w:val="13"/>
                <w:lang w:eastAsia="en-GB"/>
              </w:rPr>
              <w:t>238,071</w:t>
            </w:r>
          </w:p>
        </w:tc>
        <w:tc>
          <w:tcPr>
            <w:tcW w:w="66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jc w:val="right"/>
              <w:rPr>
                <w:rFonts w:ascii="Arial" w:hAnsi="Arial" w:cs="Arial"/>
                <w:sz w:val="13"/>
                <w:szCs w:val="13"/>
                <w:lang w:eastAsia="en-GB"/>
              </w:rPr>
            </w:pPr>
            <w:r w:rsidRPr="009D0267">
              <w:rPr>
                <w:rFonts w:ascii="Arial" w:hAnsi="Arial" w:cs="Arial"/>
                <w:sz w:val="13"/>
                <w:szCs w:val="13"/>
                <w:lang w:eastAsia="en-GB"/>
              </w:rPr>
              <w:t>206,953</w:t>
            </w:r>
          </w:p>
        </w:tc>
        <w:tc>
          <w:tcPr>
            <w:tcW w:w="46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jc w:val="right"/>
              <w:rPr>
                <w:rFonts w:ascii="Arial" w:hAnsi="Arial" w:cs="Arial"/>
                <w:sz w:val="13"/>
                <w:szCs w:val="13"/>
                <w:lang w:eastAsia="en-GB"/>
              </w:rPr>
            </w:pPr>
            <w:r w:rsidRPr="009D0267">
              <w:rPr>
                <w:rFonts w:ascii="Arial" w:hAnsi="Arial" w:cs="Arial"/>
                <w:sz w:val="13"/>
                <w:szCs w:val="13"/>
                <w:lang w:eastAsia="en-GB"/>
              </w:rPr>
              <w:t>95,58</w:t>
            </w:r>
          </w:p>
        </w:tc>
        <w:tc>
          <w:tcPr>
            <w:tcW w:w="62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jc w:val="right"/>
              <w:rPr>
                <w:rFonts w:ascii="Arial" w:hAnsi="Arial" w:cs="Arial"/>
                <w:sz w:val="13"/>
                <w:szCs w:val="13"/>
                <w:lang w:eastAsia="en-GB"/>
              </w:rPr>
            </w:pPr>
            <w:r w:rsidRPr="009D0267">
              <w:rPr>
                <w:rFonts w:ascii="Arial" w:hAnsi="Arial" w:cs="Arial"/>
                <w:sz w:val="13"/>
                <w:szCs w:val="13"/>
                <w:lang w:eastAsia="en-GB"/>
              </w:rPr>
              <w:t>212,007</w:t>
            </w:r>
          </w:p>
        </w:tc>
        <w:tc>
          <w:tcPr>
            <w:tcW w:w="46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jc w:val="right"/>
              <w:rPr>
                <w:rFonts w:ascii="Arial" w:hAnsi="Arial" w:cs="Arial"/>
                <w:sz w:val="13"/>
                <w:szCs w:val="13"/>
                <w:lang w:eastAsia="en-GB"/>
              </w:rPr>
            </w:pPr>
            <w:r w:rsidRPr="009D0267">
              <w:rPr>
                <w:rFonts w:ascii="Arial" w:hAnsi="Arial" w:cs="Arial"/>
                <w:sz w:val="13"/>
                <w:szCs w:val="13"/>
                <w:lang w:eastAsia="en-GB"/>
              </w:rPr>
              <w:t>102,44</w:t>
            </w:r>
          </w:p>
        </w:tc>
        <w:tc>
          <w:tcPr>
            <w:tcW w:w="62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jc w:val="right"/>
              <w:rPr>
                <w:rFonts w:ascii="Arial" w:hAnsi="Arial" w:cs="Arial"/>
                <w:sz w:val="13"/>
                <w:szCs w:val="13"/>
                <w:lang w:eastAsia="en-GB"/>
              </w:rPr>
            </w:pPr>
            <w:r w:rsidRPr="009D0267">
              <w:rPr>
                <w:rFonts w:ascii="Arial" w:hAnsi="Arial" w:cs="Arial"/>
                <w:sz w:val="13"/>
                <w:szCs w:val="13"/>
                <w:lang w:eastAsia="en-GB"/>
              </w:rPr>
              <w:t>220,028</w:t>
            </w:r>
          </w:p>
        </w:tc>
        <w:tc>
          <w:tcPr>
            <w:tcW w:w="480" w:type="dxa"/>
            <w:tcBorders>
              <w:top w:val="nil"/>
              <w:left w:val="nil"/>
              <w:bottom w:val="single" w:sz="4" w:space="0" w:color="auto"/>
              <w:right w:val="single" w:sz="4" w:space="0" w:color="auto"/>
            </w:tcBorders>
            <w:shd w:val="clear" w:color="auto" w:fill="auto"/>
            <w:noWrap/>
            <w:vAlign w:val="bottom"/>
            <w:hideMark/>
          </w:tcPr>
          <w:p w:rsidR="009D0267" w:rsidRPr="009D0267" w:rsidRDefault="009D0267" w:rsidP="009D0267">
            <w:pPr>
              <w:jc w:val="right"/>
              <w:rPr>
                <w:rFonts w:ascii="Arial" w:hAnsi="Arial" w:cs="Arial"/>
                <w:sz w:val="13"/>
                <w:szCs w:val="13"/>
                <w:lang w:eastAsia="en-GB"/>
              </w:rPr>
            </w:pPr>
            <w:r w:rsidRPr="009D0267">
              <w:rPr>
                <w:rFonts w:ascii="Arial" w:hAnsi="Arial" w:cs="Arial"/>
                <w:sz w:val="13"/>
                <w:szCs w:val="13"/>
                <w:lang w:eastAsia="en-GB"/>
              </w:rPr>
              <w:t>103,78</w:t>
            </w:r>
          </w:p>
        </w:tc>
      </w:tr>
    </w:tbl>
    <w:p w:rsidR="00001BAA" w:rsidRDefault="00DC4823" w:rsidP="009D0267">
      <w:pPr>
        <w:pStyle w:val="BodyText2Char"/>
        <w:jc w:val="both"/>
        <w:rPr>
          <w:rFonts w:ascii="Arial" w:hAnsi="Arial" w:cs="Arial"/>
          <w:b/>
          <w:bCs/>
          <w:sz w:val="20"/>
          <w:lang w:val="bs-Latn-BA" w:eastAsia="bs-Latn-BA"/>
        </w:rPr>
      </w:pPr>
      <w:r w:rsidRPr="007D5F34">
        <w:rPr>
          <w:szCs w:val="22"/>
          <w:lang w:val="bs-Latn-BA" w:eastAsia="bs-Latn-BA"/>
        </w:rPr>
        <w:t xml:space="preserve"> </w:t>
      </w:r>
    </w:p>
    <w:p w:rsidR="00B61E48" w:rsidRPr="00337EC5" w:rsidRDefault="00B61E48" w:rsidP="00B61E48">
      <w:pPr>
        <w:pStyle w:val="BodyText2Char"/>
        <w:jc w:val="both"/>
        <w:rPr>
          <w:sz w:val="24"/>
          <w:szCs w:val="24"/>
          <w:lang w:val="hr-HR"/>
        </w:rPr>
      </w:pPr>
      <w:r w:rsidRPr="00477606">
        <w:rPr>
          <w:sz w:val="24"/>
          <w:szCs w:val="24"/>
          <w:lang w:val="hr-HR"/>
        </w:rPr>
        <w:t>Alokacija budžetskih sredstava na glavne grupe rashoda u posmatranom periodu od 201</w:t>
      </w:r>
      <w:r w:rsidR="009D0267">
        <w:rPr>
          <w:sz w:val="24"/>
          <w:szCs w:val="24"/>
          <w:lang w:val="hr-HR"/>
        </w:rPr>
        <w:t>9</w:t>
      </w:r>
      <w:r w:rsidRPr="00477606">
        <w:rPr>
          <w:sz w:val="24"/>
          <w:szCs w:val="24"/>
          <w:lang w:val="hr-HR"/>
        </w:rPr>
        <w:t>. do 20</w:t>
      </w:r>
      <w:r>
        <w:rPr>
          <w:sz w:val="24"/>
          <w:szCs w:val="24"/>
          <w:lang w:val="hr-HR"/>
        </w:rPr>
        <w:t>2</w:t>
      </w:r>
      <w:r w:rsidR="009D0267">
        <w:rPr>
          <w:sz w:val="24"/>
          <w:szCs w:val="24"/>
          <w:lang w:val="hr-HR"/>
        </w:rPr>
        <w:t>3</w:t>
      </w:r>
      <w:r w:rsidRPr="00477606">
        <w:rPr>
          <w:sz w:val="24"/>
          <w:szCs w:val="24"/>
          <w:lang w:val="hr-HR"/>
        </w:rPr>
        <w:t xml:space="preserve">. godine ima ujednačenu strukturu potrošnje koja odgovara osnovnim funkcijama koje su u nadležnosti kantonalnog nivoa vlasti. </w:t>
      </w:r>
      <w:r w:rsidRPr="00337EC5">
        <w:rPr>
          <w:sz w:val="24"/>
          <w:szCs w:val="24"/>
          <w:lang w:val="hr-HR"/>
        </w:rPr>
        <w:t>Prilikom projeciranja rashodovne strane budžeta za 20</w:t>
      </w:r>
      <w:r>
        <w:rPr>
          <w:sz w:val="24"/>
          <w:szCs w:val="24"/>
          <w:lang w:val="hr-HR"/>
        </w:rPr>
        <w:t>2</w:t>
      </w:r>
      <w:r w:rsidR="009D0267">
        <w:rPr>
          <w:sz w:val="24"/>
          <w:szCs w:val="24"/>
          <w:lang w:val="hr-HR"/>
        </w:rPr>
        <w:t>1</w:t>
      </w:r>
      <w:r w:rsidRPr="00337EC5">
        <w:rPr>
          <w:sz w:val="24"/>
          <w:szCs w:val="24"/>
          <w:lang w:val="hr-HR"/>
        </w:rPr>
        <w:t>. godinu koristio se restriktivni metod,</w:t>
      </w:r>
      <w:r w:rsidR="009D0267">
        <w:rPr>
          <w:sz w:val="24"/>
          <w:szCs w:val="24"/>
          <w:lang w:val="hr-HR"/>
        </w:rPr>
        <w:t xml:space="preserve"> </w:t>
      </w:r>
      <w:r w:rsidRPr="00337EC5">
        <w:rPr>
          <w:sz w:val="24"/>
          <w:szCs w:val="24"/>
          <w:lang w:val="hr-HR"/>
        </w:rPr>
        <w:t xml:space="preserve">tj.da se rashodi svedu na nivo realnih prihodovnih mogućnosti kantona, a što je u skladu sa Zakonom o budžetima u Federaciji BiH.   </w:t>
      </w:r>
    </w:p>
    <w:p w:rsidR="0057569A" w:rsidRDefault="00B61E48" w:rsidP="00631235">
      <w:pPr>
        <w:jc w:val="both"/>
        <w:rPr>
          <w:sz w:val="24"/>
          <w:szCs w:val="24"/>
          <w:lang w:val="hr-HR"/>
        </w:rPr>
      </w:pPr>
      <w:r w:rsidRPr="009F3FA7">
        <w:rPr>
          <w:sz w:val="24"/>
          <w:szCs w:val="24"/>
          <w:lang w:val="hr-HR"/>
        </w:rPr>
        <w:t>Ukupni rashodi za 20</w:t>
      </w:r>
      <w:r>
        <w:rPr>
          <w:sz w:val="24"/>
          <w:szCs w:val="24"/>
          <w:lang w:val="hr-HR"/>
        </w:rPr>
        <w:t>2</w:t>
      </w:r>
      <w:r w:rsidR="009D0267">
        <w:rPr>
          <w:sz w:val="24"/>
          <w:szCs w:val="24"/>
          <w:lang w:val="hr-HR"/>
        </w:rPr>
        <w:t>1</w:t>
      </w:r>
      <w:r w:rsidRPr="009F3FA7">
        <w:rPr>
          <w:sz w:val="24"/>
          <w:szCs w:val="24"/>
          <w:lang w:val="hr-HR"/>
        </w:rPr>
        <w:t>. godinu</w:t>
      </w:r>
      <w:r w:rsidR="009D0267">
        <w:rPr>
          <w:sz w:val="24"/>
          <w:szCs w:val="24"/>
          <w:lang w:val="hr-HR"/>
        </w:rPr>
        <w:t xml:space="preserve"> izvor 10- bez vlastitih, nanjenskih sredstava i donacija</w:t>
      </w:r>
      <w:r w:rsidRPr="009F3FA7">
        <w:rPr>
          <w:sz w:val="24"/>
          <w:szCs w:val="24"/>
          <w:lang w:val="hr-HR"/>
        </w:rPr>
        <w:t xml:space="preserve"> iznose </w:t>
      </w:r>
      <w:r w:rsidR="009D0267">
        <w:rPr>
          <w:sz w:val="24"/>
          <w:szCs w:val="24"/>
          <w:lang w:val="hr-HR"/>
        </w:rPr>
        <w:t>206,953</w:t>
      </w:r>
      <w:r w:rsidRPr="009F3FA7">
        <w:rPr>
          <w:sz w:val="24"/>
          <w:szCs w:val="24"/>
          <w:lang w:val="hr-HR"/>
        </w:rPr>
        <w:t xml:space="preserve"> mil KM ili </w:t>
      </w:r>
      <w:r w:rsidR="009D0267">
        <w:rPr>
          <w:sz w:val="24"/>
          <w:szCs w:val="24"/>
          <w:lang w:val="hr-HR"/>
        </w:rPr>
        <w:t>4,42</w:t>
      </w:r>
      <w:r w:rsidRPr="009F3FA7">
        <w:rPr>
          <w:sz w:val="24"/>
          <w:szCs w:val="24"/>
          <w:lang w:val="hr-HR"/>
        </w:rPr>
        <w:t xml:space="preserve"> % manje od </w:t>
      </w:r>
      <w:r>
        <w:rPr>
          <w:sz w:val="24"/>
          <w:szCs w:val="24"/>
          <w:lang w:val="hr-HR"/>
        </w:rPr>
        <w:t xml:space="preserve">budžeta </w:t>
      </w:r>
      <w:r w:rsidRPr="009F3FA7">
        <w:rPr>
          <w:sz w:val="24"/>
          <w:szCs w:val="24"/>
          <w:lang w:val="hr-HR"/>
        </w:rPr>
        <w:t>20</w:t>
      </w:r>
      <w:r w:rsidR="009D0267">
        <w:rPr>
          <w:sz w:val="24"/>
          <w:szCs w:val="24"/>
          <w:lang w:val="hr-HR"/>
        </w:rPr>
        <w:t>20</w:t>
      </w:r>
      <w:r w:rsidRPr="009F3FA7">
        <w:rPr>
          <w:sz w:val="24"/>
          <w:szCs w:val="24"/>
          <w:lang w:val="hr-HR"/>
        </w:rPr>
        <w:t xml:space="preserve">.godine. Plan </w:t>
      </w:r>
      <w:r>
        <w:rPr>
          <w:sz w:val="24"/>
          <w:szCs w:val="24"/>
          <w:lang w:val="hr-HR"/>
        </w:rPr>
        <w:t>r</w:t>
      </w:r>
      <w:r w:rsidRPr="009F3FA7">
        <w:rPr>
          <w:sz w:val="24"/>
          <w:szCs w:val="24"/>
          <w:lang w:val="hr-HR"/>
        </w:rPr>
        <w:t>ashoda za 20</w:t>
      </w:r>
      <w:r>
        <w:rPr>
          <w:sz w:val="24"/>
          <w:szCs w:val="24"/>
          <w:lang w:val="hr-HR"/>
        </w:rPr>
        <w:t>2</w:t>
      </w:r>
      <w:r w:rsidR="009D0267">
        <w:rPr>
          <w:sz w:val="24"/>
          <w:szCs w:val="24"/>
          <w:lang w:val="hr-HR"/>
        </w:rPr>
        <w:t>2</w:t>
      </w:r>
      <w:r w:rsidRPr="009F3FA7">
        <w:rPr>
          <w:sz w:val="24"/>
          <w:szCs w:val="24"/>
          <w:lang w:val="hr-HR"/>
        </w:rPr>
        <w:t xml:space="preserve">. godinu iznosi </w:t>
      </w:r>
      <w:r>
        <w:rPr>
          <w:sz w:val="24"/>
          <w:szCs w:val="24"/>
          <w:lang w:val="hr-HR"/>
        </w:rPr>
        <w:t>21</w:t>
      </w:r>
      <w:r w:rsidR="009D0267">
        <w:rPr>
          <w:sz w:val="24"/>
          <w:szCs w:val="24"/>
          <w:lang w:val="hr-HR"/>
        </w:rPr>
        <w:t>2</w:t>
      </w:r>
      <w:r>
        <w:rPr>
          <w:sz w:val="24"/>
          <w:szCs w:val="24"/>
          <w:lang w:val="hr-HR"/>
        </w:rPr>
        <w:t>,</w:t>
      </w:r>
      <w:r w:rsidR="009D0267">
        <w:rPr>
          <w:sz w:val="24"/>
          <w:szCs w:val="24"/>
          <w:lang w:val="hr-HR"/>
        </w:rPr>
        <w:t>007</w:t>
      </w:r>
      <w:r w:rsidRPr="009F3FA7">
        <w:rPr>
          <w:sz w:val="24"/>
          <w:szCs w:val="24"/>
          <w:lang w:val="hr-HR"/>
        </w:rPr>
        <w:t xml:space="preserve"> mil KM  što je </w:t>
      </w:r>
      <w:r>
        <w:rPr>
          <w:sz w:val="24"/>
          <w:szCs w:val="24"/>
          <w:lang w:val="hr-HR"/>
        </w:rPr>
        <w:t xml:space="preserve">za </w:t>
      </w:r>
      <w:r w:rsidR="009D0267">
        <w:rPr>
          <w:sz w:val="24"/>
          <w:szCs w:val="24"/>
          <w:lang w:val="hr-HR"/>
        </w:rPr>
        <w:t>2,44</w:t>
      </w:r>
      <w:r>
        <w:rPr>
          <w:sz w:val="24"/>
          <w:szCs w:val="24"/>
          <w:lang w:val="hr-HR"/>
        </w:rPr>
        <w:t>% više</w:t>
      </w:r>
      <w:r w:rsidRPr="009F3FA7">
        <w:rPr>
          <w:sz w:val="24"/>
          <w:szCs w:val="24"/>
          <w:lang w:val="hr-HR"/>
        </w:rPr>
        <w:t xml:space="preserve"> od prethodne godine, a u 20</w:t>
      </w:r>
      <w:r>
        <w:rPr>
          <w:sz w:val="24"/>
          <w:szCs w:val="24"/>
          <w:lang w:val="hr-HR"/>
        </w:rPr>
        <w:t>2</w:t>
      </w:r>
      <w:r w:rsidR="009D0267">
        <w:rPr>
          <w:sz w:val="24"/>
          <w:szCs w:val="24"/>
          <w:lang w:val="hr-HR"/>
        </w:rPr>
        <w:t>3</w:t>
      </w:r>
      <w:r w:rsidRPr="009F3FA7">
        <w:rPr>
          <w:sz w:val="24"/>
          <w:szCs w:val="24"/>
          <w:lang w:val="hr-HR"/>
        </w:rPr>
        <w:t xml:space="preserve">. godini </w:t>
      </w:r>
      <w:r>
        <w:rPr>
          <w:sz w:val="24"/>
          <w:szCs w:val="24"/>
          <w:lang w:val="hr-HR"/>
        </w:rPr>
        <w:t>rashodi se projeciraju u iznosu</w:t>
      </w:r>
      <w:r w:rsidRPr="009F3FA7">
        <w:rPr>
          <w:sz w:val="24"/>
          <w:szCs w:val="24"/>
          <w:lang w:val="hr-HR"/>
        </w:rPr>
        <w:t xml:space="preserve"> </w:t>
      </w:r>
      <w:r w:rsidR="009D0267">
        <w:rPr>
          <w:sz w:val="24"/>
          <w:szCs w:val="24"/>
          <w:lang w:val="hr-HR"/>
        </w:rPr>
        <w:t>220,028</w:t>
      </w:r>
      <w:r w:rsidRPr="009F3FA7">
        <w:rPr>
          <w:sz w:val="24"/>
          <w:szCs w:val="24"/>
          <w:lang w:val="hr-HR"/>
        </w:rPr>
        <w:t xml:space="preserve"> mil KM ili </w:t>
      </w:r>
      <w:r w:rsidR="009D0267">
        <w:rPr>
          <w:sz w:val="24"/>
          <w:szCs w:val="24"/>
          <w:lang w:val="hr-HR"/>
        </w:rPr>
        <w:t>3,78</w:t>
      </w:r>
      <w:r w:rsidRPr="009F3FA7">
        <w:rPr>
          <w:sz w:val="24"/>
          <w:szCs w:val="24"/>
          <w:lang w:val="hr-HR"/>
        </w:rPr>
        <w:t>% više od prethodne godine.</w:t>
      </w:r>
    </w:p>
    <w:p w:rsidR="00084AEB" w:rsidRDefault="00084AEB" w:rsidP="003E13DA">
      <w:pPr>
        <w:rPr>
          <w:lang w:val="hr-HR"/>
        </w:rPr>
      </w:pPr>
    </w:p>
    <w:p w:rsidR="0039533C" w:rsidRDefault="00A47D39" w:rsidP="00D70085">
      <w:pPr>
        <w:jc w:val="both"/>
        <w:rPr>
          <w:sz w:val="24"/>
          <w:szCs w:val="24"/>
          <w:lang w:val="hr-HR"/>
        </w:rPr>
      </w:pPr>
      <w:r w:rsidRPr="003B1219">
        <w:rPr>
          <w:sz w:val="24"/>
          <w:szCs w:val="24"/>
          <w:lang w:val="hr-HR"/>
        </w:rPr>
        <w:t xml:space="preserve">Ukupna kantonalna budžetska </w:t>
      </w:r>
      <w:r w:rsidRPr="003B1219">
        <w:rPr>
          <w:b/>
          <w:i/>
          <w:sz w:val="24"/>
          <w:szCs w:val="24"/>
          <w:lang w:val="hr-HR"/>
        </w:rPr>
        <w:t>potrošnja na plaće, naknade i doprinos</w:t>
      </w:r>
      <w:r w:rsidRPr="003B1219">
        <w:rPr>
          <w:sz w:val="24"/>
          <w:szCs w:val="24"/>
          <w:lang w:val="hr-HR"/>
        </w:rPr>
        <w:t xml:space="preserve"> se procjenjuje na </w:t>
      </w:r>
      <w:r w:rsidR="00074753">
        <w:rPr>
          <w:sz w:val="24"/>
          <w:szCs w:val="24"/>
          <w:lang w:val="hr-HR"/>
        </w:rPr>
        <w:t>144,359</w:t>
      </w:r>
      <w:r w:rsidRPr="003B1219">
        <w:rPr>
          <w:sz w:val="24"/>
          <w:szCs w:val="24"/>
          <w:lang w:val="hr-HR"/>
        </w:rPr>
        <w:t xml:space="preserve"> mil KM u 20</w:t>
      </w:r>
      <w:r w:rsidR="004059BD">
        <w:rPr>
          <w:sz w:val="24"/>
          <w:szCs w:val="24"/>
          <w:lang w:val="hr-HR"/>
        </w:rPr>
        <w:t>2</w:t>
      </w:r>
      <w:r w:rsidR="00074753">
        <w:rPr>
          <w:sz w:val="24"/>
          <w:szCs w:val="24"/>
          <w:lang w:val="hr-HR"/>
        </w:rPr>
        <w:t>1</w:t>
      </w:r>
      <w:r w:rsidR="005201E5" w:rsidRPr="003B1219">
        <w:rPr>
          <w:sz w:val="24"/>
          <w:szCs w:val="24"/>
          <w:lang w:val="hr-HR"/>
        </w:rPr>
        <w:t xml:space="preserve">. godini, što predstavlja </w:t>
      </w:r>
      <w:r w:rsidR="00074753">
        <w:rPr>
          <w:sz w:val="24"/>
          <w:szCs w:val="24"/>
          <w:lang w:val="hr-HR"/>
        </w:rPr>
        <w:t>umanjenje</w:t>
      </w:r>
      <w:r w:rsidR="00FC26BF" w:rsidRPr="003B1219">
        <w:rPr>
          <w:sz w:val="24"/>
          <w:szCs w:val="24"/>
          <w:lang w:val="hr-HR"/>
        </w:rPr>
        <w:t xml:space="preserve"> od  </w:t>
      </w:r>
      <w:r w:rsidR="00074753">
        <w:rPr>
          <w:sz w:val="24"/>
          <w:szCs w:val="24"/>
          <w:lang w:val="hr-HR"/>
        </w:rPr>
        <w:t>1,72</w:t>
      </w:r>
      <w:r w:rsidR="004059BD">
        <w:rPr>
          <w:sz w:val="24"/>
          <w:szCs w:val="24"/>
          <w:lang w:val="hr-HR"/>
        </w:rPr>
        <w:t xml:space="preserve"> </w:t>
      </w:r>
      <w:r w:rsidRPr="003B1219">
        <w:rPr>
          <w:sz w:val="24"/>
          <w:szCs w:val="24"/>
          <w:lang w:val="hr-HR"/>
        </w:rPr>
        <w:t xml:space="preserve">% </w:t>
      </w:r>
      <w:r w:rsidR="00FC26BF" w:rsidRPr="003B1219">
        <w:rPr>
          <w:sz w:val="24"/>
          <w:szCs w:val="24"/>
          <w:lang w:val="hr-HR"/>
        </w:rPr>
        <w:t xml:space="preserve"> </w:t>
      </w:r>
      <w:r w:rsidRPr="003B1219">
        <w:rPr>
          <w:sz w:val="24"/>
          <w:szCs w:val="24"/>
          <w:lang w:val="hr-HR"/>
        </w:rPr>
        <w:t>u odnosu na 20</w:t>
      </w:r>
      <w:r w:rsidR="00074753">
        <w:rPr>
          <w:sz w:val="24"/>
          <w:szCs w:val="24"/>
          <w:lang w:val="hr-HR"/>
        </w:rPr>
        <w:t>20</w:t>
      </w:r>
      <w:r w:rsidRPr="003B1219">
        <w:rPr>
          <w:sz w:val="24"/>
          <w:szCs w:val="24"/>
          <w:lang w:val="hr-HR"/>
        </w:rPr>
        <w:t>. godinu</w:t>
      </w:r>
      <w:r w:rsidR="007E109A">
        <w:rPr>
          <w:sz w:val="24"/>
          <w:szCs w:val="24"/>
          <w:lang w:val="hr-HR"/>
        </w:rPr>
        <w:t>, a koje se odnosi na korekcije plaća i naknada zaposlenih</w:t>
      </w:r>
      <w:r w:rsidR="00074753">
        <w:rPr>
          <w:sz w:val="24"/>
          <w:szCs w:val="24"/>
          <w:lang w:val="hr-HR"/>
        </w:rPr>
        <w:t xml:space="preserve"> u skladu sa brojem zaposlenih radnika.</w:t>
      </w:r>
    </w:p>
    <w:p w:rsidR="0039533C" w:rsidRDefault="0039533C" w:rsidP="003E13DA">
      <w:pPr>
        <w:jc w:val="both"/>
        <w:rPr>
          <w:sz w:val="24"/>
          <w:szCs w:val="24"/>
          <w:lang w:val="hr-HR"/>
        </w:rPr>
      </w:pPr>
      <w:r>
        <w:rPr>
          <w:sz w:val="24"/>
          <w:szCs w:val="24"/>
          <w:lang w:val="hr-HR"/>
        </w:rPr>
        <w:t>Za 202</w:t>
      </w:r>
      <w:r w:rsidR="00074753">
        <w:rPr>
          <w:sz w:val="24"/>
          <w:szCs w:val="24"/>
          <w:lang w:val="hr-HR"/>
        </w:rPr>
        <w:t>2</w:t>
      </w:r>
      <w:r>
        <w:rPr>
          <w:sz w:val="24"/>
          <w:szCs w:val="24"/>
          <w:lang w:val="hr-HR"/>
        </w:rPr>
        <w:t xml:space="preserve">.godinu planira se povećanje </w:t>
      </w:r>
      <w:r w:rsidR="00460833">
        <w:rPr>
          <w:sz w:val="24"/>
          <w:szCs w:val="24"/>
          <w:lang w:val="hr-HR"/>
        </w:rPr>
        <w:t xml:space="preserve">za </w:t>
      </w:r>
      <w:r w:rsidR="00074753">
        <w:rPr>
          <w:sz w:val="24"/>
          <w:szCs w:val="24"/>
          <w:lang w:val="hr-HR"/>
        </w:rPr>
        <w:t>0,71</w:t>
      </w:r>
      <w:r w:rsidR="00460833">
        <w:rPr>
          <w:sz w:val="24"/>
          <w:szCs w:val="24"/>
          <w:lang w:val="hr-HR"/>
        </w:rPr>
        <w:t>% u odnosu na prethodnu godinu, kao i zadržavanje rasta plaća u 202</w:t>
      </w:r>
      <w:r w:rsidR="00074753">
        <w:rPr>
          <w:sz w:val="24"/>
          <w:szCs w:val="24"/>
          <w:lang w:val="hr-HR"/>
        </w:rPr>
        <w:t>3</w:t>
      </w:r>
      <w:r w:rsidR="00460833">
        <w:rPr>
          <w:sz w:val="24"/>
          <w:szCs w:val="24"/>
          <w:lang w:val="hr-HR"/>
        </w:rPr>
        <w:t xml:space="preserve">. godini za </w:t>
      </w:r>
      <w:r w:rsidR="00074753">
        <w:rPr>
          <w:sz w:val="24"/>
          <w:szCs w:val="24"/>
          <w:lang w:val="hr-HR"/>
        </w:rPr>
        <w:t>1,94</w:t>
      </w:r>
      <w:r w:rsidR="00460833">
        <w:rPr>
          <w:sz w:val="24"/>
          <w:szCs w:val="24"/>
          <w:lang w:val="hr-HR"/>
        </w:rPr>
        <w:t>%.</w:t>
      </w:r>
    </w:p>
    <w:p w:rsidR="00771A02" w:rsidRDefault="00460833" w:rsidP="003E13DA">
      <w:pPr>
        <w:jc w:val="both"/>
        <w:rPr>
          <w:sz w:val="24"/>
          <w:szCs w:val="24"/>
          <w:lang w:val="hr-HR"/>
        </w:rPr>
      </w:pPr>
      <w:r>
        <w:rPr>
          <w:sz w:val="24"/>
          <w:szCs w:val="24"/>
          <w:lang w:val="hr-HR"/>
        </w:rPr>
        <w:t xml:space="preserve">U strukturi ukupnih rashoda najviše se izdvaja na plaće i naknade zaposlenih tako da se procenat izdvajanja kreće preko </w:t>
      </w:r>
      <w:r w:rsidR="00074753">
        <w:rPr>
          <w:sz w:val="24"/>
          <w:szCs w:val="24"/>
          <w:lang w:val="hr-HR"/>
        </w:rPr>
        <w:t>69,75</w:t>
      </w:r>
      <w:r>
        <w:rPr>
          <w:sz w:val="24"/>
          <w:szCs w:val="24"/>
          <w:lang w:val="hr-HR"/>
        </w:rPr>
        <w:t>% u odnosu na ukupne rashode i izdatke, što u odnosu na ukupne raspoložive prihode kantona i druge zakonske obaveze kantona nije održivo. Zbog toga je neophodno da se predlože mjere koje će voditi racionalizaciji u ovoj oblasti, pogotovo u sektorima sa najvećim brojem zaposlenih koji se finansiraju iz budžetskih sredstava kao što je Obrazovanje, pravosuđe i MUP-a.</w:t>
      </w:r>
    </w:p>
    <w:p w:rsidR="00771A02" w:rsidRDefault="00771A02" w:rsidP="003E13DA">
      <w:pPr>
        <w:jc w:val="both"/>
        <w:rPr>
          <w:sz w:val="24"/>
          <w:szCs w:val="24"/>
          <w:lang w:val="hr-HR"/>
        </w:rPr>
      </w:pPr>
    </w:p>
    <w:p w:rsidR="003E13DA" w:rsidRPr="005632ED" w:rsidRDefault="003E13DA" w:rsidP="003E13DA">
      <w:pPr>
        <w:jc w:val="both"/>
        <w:rPr>
          <w:sz w:val="24"/>
          <w:szCs w:val="24"/>
          <w:lang w:val="hr-HR"/>
        </w:rPr>
      </w:pPr>
      <w:r w:rsidRPr="005632ED">
        <w:rPr>
          <w:b/>
          <w:i/>
          <w:sz w:val="24"/>
          <w:szCs w:val="24"/>
          <w:lang w:val="hr-HR"/>
        </w:rPr>
        <w:t>Izdaci za materijal i usluge</w:t>
      </w:r>
      <w:r w:rsidRPr="005632ED">
        <w:rPr>
          <w:sz w:val="24"/>
          <w:szCs w:val="24"/>
          <w:lang w:val="hr-HR"/>
        </w:rPr>
        <w:t xml:space="preserve"> </w:t>
      </w:r>
      <w:r w:rsidR="00771A02">
        <w:rPr>
          <w:sz w:val="24"/>
          <w:szCs w:val="24"/>
          <w:lang w:val="hr-HR"/>
        </w:rPr>
        <w:t>-</w:t>
      </w:r>
      <w:r w:rsidR="002917B9">
        <w:rPr>
          <w:sz w:val="24"/>
          <w:szCs w:val="24"/>
          <w:lang w:val="hr-HR"/>
        </w:rPr>
        <w:t xml:space="preserve"> Plan </w:t>
      </w:r>
      <w:r w:rsidRPr="005632ED">
        <w:rPr>
          <w:sz w:val="24"/>
          <w:szCs w:val="24"/>
          <w:lang w:val="hr-HR"/>
        </w:rPr>
        <w:t>u 20</w:t>
      </w:r>
      <w:r w:rsidR="00184EA4">
        <w:rPr>
          <w:sz w:val="24"/>
          <w:szCs w:val="24"/>
          <w:lang w:val="hr-HR"/>
        </w:rPr>
        <w:t>21</w:t>
      </w:r>
      <w:r w:rsidRPr="005632ED">
        <w:rPr>
          <w:sz w:val="24"/>
          <w:szCs w:val="24"/>
          <w:lang w:val="hr-HR"/>
        </w:rPr>
        <w:t xml:space="preserve"> godini </w:t>
      </w:r>
      <w:r w:rsidR="002917B9">
        <w:rPr>
          <w:sz w:val="24"/>
          <w:szCs w:val="24"/>
          <w:lang w:val="hr-HR"/>
        </w:rPr>
        <w:t>je</w:t>
      </w:r>
      <w:r w:rsidR="0051522C">
        <w:rPr>
          <w:sz w:val="24"/>
          <w:szCs w:val="24"/>
          <w:lang w:val="hr-HR"/>
        </w:rPr>
        <w:t xml:space="preserve"> predvidio</w:t>
      </w:r>
      <w:r w:rsidR="002917B9">
        <w:rPr>
          <w:sz w:val="24"/>
          <w:szCs w:val="24"/>
          <w:lang w:val="hr-HR"/>
        </w:rPr>
        <w:t xml:space="preserve"> </w:t>
      </w:r>
      <w:r w:rsidR="00184EA4">
        <w:rPr>
          <w:sz w:val="24"/>
          <w:szCs w:val="24"/>
          <w:lang w:val="hr-HR"/>
        </w:rPr>
        <w:t>13,674</w:t>
      </w:r>
      <w:r w:rsidR="00771A02">
        <w:rPr>
          <w:sz w:val="24"/>
          <w:szCs w:val="24"/>
          <w:lang w:val="hr-HR"/>
        </w:rPr>
        <w:t xml:space="preserve"> mil.KM, dok je za 202</w:t>
      </w:r>
      <w:r w:rsidR="00184EA4">
        <w:rPr>
          <w:sz w:val="24"/>
          <w:szCs w:val="24"/>
          <w:lang w:val="hr-HR"/>
        </w:rPr>
        <w:t>2</w:t>
      </w:r>
      <w:r w:rsidR="00771A02">
        <w:rPr>
          <w:sz w:val="24"/>
          <w:szCs w:val="24"/>
          <w:lang w:val="hr-HR"/>
        </w:rPr>
        <w:t xml:space="preserve">. planirano </w:t>
      </w:r>
      <w:r w:rsidR="00184EA4">
        <w:rPr>
          <w:sz w:val="24"/>
          <w:szCs w:val="24"/>
          <w:lang w:val="hr-HR"/>
        </w:rPr>
        <w:t>13,294</w:t>
      </w:r>
      <w:r w:rsidR="00771A02">
        <w:rPr>
          <w:sz w:val="24"/>
          <w:szCs w:val="24"/>
          <w:lang w:val="hr-HR"/>
        </w:rPr>
        <w:t xml:space="preserve"> mil.KM odnosno povećanje za </w:t>
      </w:r>
      <w:r w:rsidR="00184EA4">
        <w:rPr>
          <w:sz w:val="24"/>
          <w:szCs w:val="24"/>
          <w:lang w:val="hr-HR"/>
        </w:rPr>
        <w:t>1,83</w:t>
      </w:r>
      <w:r w:rsidR="00771A02">
        <w:rPr>
          <w:sz w:val="24"/>
          <w:szCs w:val="24"/>
          <w:lang w:val="hr-HR"/>
        </w:rPr>
        <w:t>%, te u 202</w:t>
      </w:r>
      <w:r w:rsidR="00184EA4">
        <w:rPr>
          <w:sz w:val="24"/>
          <w:szCs w:val="24"/>
          <w:lang w:val="hr-HR"/>
        </w:rPr>
        <w:t>3</w:t>
      </w:r>
      <w:r w:rsidR="00771A02">
        <w:rPr>
          <w:sz w:val="24"/>
          <w:szCs w:val="24"/>
          <w:lang w:val="hr-HR"/>
        </w:rPr>
        <w:t xml:space="preserve">. projecirano </w:t>
      </w:r>
      <w:r w:rsidR="00184EA4">
        <w:rPr>
          <w:sz w:val="24"/>
          <w:szCs w:val="24"/>
          <w:lang w:val="hr-HR"/>
        </w:rPr>
        <w:t>14,2</w:t>
      </w:r>
      <w:r w:rsidR="00771A02">
        <w:rPr>
          <w:sz w:val="24"/>
          <w:szCs w:val="24"/>
          <w:lang w:val="hr-HR"/>
        </w:rPr>
        <w:t>mil. KM</w:t>
      </w:r>
      <w:r w:rsidR="00184EA4">
        <w:rPr>
          <w:sz w:val="24"/>
          <w:szCs w:val="24"/>
          <w:lang w:val="hr-HR"/>
        </w:rPr>
        <w:t>.</w:t>
      </w:r>
      <w:r w:rsidR="00771A02">
        <w:rPr>
          <w:sz w:val="24"/>
          <w:szCs w:val="24"/>
          <w:lang w:val="hr-HR"/>
        </w:rPr>
        <w:t xml:space="preserve"> </w:t>
      </w:r>
    </w:p>
    <w:p w:rsidR="001D3F91" w:rsidRDefault="00066B96" w:rsidP="00066B96">
      <w:pPr>
        <w:jc w:val="both"/>
        <w:rPr>
          <w:lang w:val="hr-HR"/>
        </w:rPr>
      </w:pPr>
      <w:r w:rsidRPr="003E13DA">
        <w:rPr>
          <w:lang w:val="hr-HR"/>
        </w:rPr>
        <w:t xml:space="preserve">       </w:t>
      </w:r>
    </w:p>
    <w:p w:rsidR="003E13DA" w:rsidRPr="00066B96" w:rsidRDefault="00066B96" w:rsidP="003E13DA">
      <w:pPr>
        <w:jc w:val="both"/>
        <w:rPr>
          <w:sz w:val="24"/>
          <w:lang w:val="hr-HR"/>
        </w:rPr>
      </w:pPr>
      <w:r>
        <w:rPr>
          <w:lang w:val="hr-HR"/>
        </w:rPr>
        <w:tab/>
      </w:r>
      <w:r w:rsidR="003E13DA" w:rsidRPr="00066B96">
        <w:rPr>
          <w:sz w:val="24"/>
          <w:lang w:val="hr-HR"/>
        </w:rPr>
        <w:t>Neadekvatan razmjer izdataka za materijal i usluge i plata obično rezultira manje djelotvornim i učinkovitim javnim sektorom. Bez dovoljno resursa za materijal i usluge, rukovodioci programa imaju ograničenu mogućnost za pružanje adekvat</w:t>
      </w:r>
      <w:r w:rsidR="00050008">
        <w:rPr>
          <w:sz w:val="24"/>
          <w:lang w:val="hr-HR"/>
        </w:rPr>
        <w:t>nih usluga.  Očekuje se da će</w:t>
      </w:r>
      <w:r w:rsidR="003E13DA" w:rsidRPr="00066B96">
        <w:rPr>
          <w:sz w:val="24"/>
          <w:lang w:val="hr-HR"/>
        </w:rPr>
        <w:t xml:space="preserve"> postepeno uvođenje programskog budžetiranja unaprijediti transparentnost u raspodjeli budžetskih sredstava i pomoći Vladi pri raspodjeli istih na budžetske programe koji odražavaju najviše ekonomske i socijalne prioritet</w:t>
      </w:r>
      <w:r w:rsidR="00B71394">
        <w:rPr>
          <w:sz w:val="24"/>
          <w:lang w:val="hr-HR"/>
        </w:rPr>
        <w:t>e</w:t>
      </w:r>
      <w:r w:rsidR="003E13DA" w:rsidRPr="00066B96">
        <w:rPr>
          <w:sz w:val="24"/>
          <w:lang w:val="hr-HR"/>
        </w:rPr>
        <w:t xml:space="preserve"> Kantona.</w:t>
      </w:r>
    </w:p>
    <w:p w:rsidR="003E13DA" w:rsidRDefault="003E13DA" w:rsidP="003E13DA">
      <w:pPr>
        <w:jc w:val="both"/>
        <w:rPr>
          <w:b/>
          <w:sz w:val="24"/>
          <w:szCs w:val="24"/>
          <w:lang w:val="hr-HR"/>
        </w:rPr>
      </w:pPr>
    </w:p>
    <w:p w:rsidR="00F33823" w:rsidRDefault="00066B96" w:rsidP="006B3C3C">
      <w:pPr>
        <w:jc w:val="both"/>
        <w:rPr>
          <w:sz w:val="24"/>
          <w:lang w:val="hr-HR"/>
        </w:rPr>
      </w:pPr>
      <w:r>
        <w:rPr>
          <w:lang w:val="hr-HR"/>
        </w:rPr>
        <w:tab/>
      </w:r>
      <w:r w:rsidRPr="00066B96">
        <w:rPr>
          <w:sz w:val="24"/>
          <w:lang w:val="hr-HR"/>
        </w:rPr>
        <w:t>U 20</w:t>
      </w:r>
      <w:r w:rsidR="00771A02">
        <w:rPr>
          <w:sz w:val="24"/>
          <w:lang w:val="hr-HR"/>
        </w:rPr>
        <w:t>2</w:t>
      </w:r>
      <w:r w:rsidR="00184EA4">
        <w:rPr>
          <w:sz w:val="24"/>
          <w:lang w:val="hr-HR"/>
        </w:rPr>
        <w:t>1</w:t>
      </w:r>
      <w:r w:rsidRPr="00066B96">
        <w:rPr>
          <w:sz w:val="24"/>
          <w:lang w:val="hr-HR"/>
        </w:rPr>
        <w:t xml:space="preserve">.godini </w:t>
      </w:r>
      <w:r w:rsidR="00B71394">
        <w:rPr>
          <w:sz w:val="24"/>
          <w:lang w:val="hr-HR"/>
        </w:rPr>
        <w:t>z</w:t>
      </w:r>
      <w:r w:rsidRPr="00066B96">
        <w:rPr>
          <w:sz w:val="24"/>
          <w:lang w:val="hr-HR"/>
        </w:rPr>
        <w:t xml:space="preserve">a </w:t>
      </w:r>
      <w:r w:rsidR="00B71394" w:rsidRPr="0071343B">
        <w:rPr>
          <w:b/>
          <w:i/>
          <w:sz w:val="24"/>
          <w:lang w:val="hr-HR"/>
        </w:rPr>
        <w:t xml:space="preserve">tekuće transfere </w:t>
      </w:r>
      <w:r w:rsidR="0071343B" w:rsidRPr="0071343B">
        <w:rPr>
          <w:b/>
          <w:i/>
          <w:sz w:val="24"/>
          <w:lang w:val="hr-HR"/>
        </w:rPr>
        <w:t>( grantove</w:t>
      </w:r>
      <w:r w:rsidR="0071343B">
        <w:rPr>
          <w:sz w:val="24"/>
          <w:lang w:val="hr-HR"/>
        </w:rPr>
        <w:t>)</w:t>
      </w:r>
      <w:r w:rsidRPr="00066B96">
        <w:rPr>
          <w:sz w:val="24"/>
          <w:lang w:val="hr-HR"/>
        </w:rPr>
        <w:t xml:space="preserve"> </w:t>
      </w:r>
      <w:r w:rsidR="00050008">
        <w:rPr>
          <w:sz w:val="24"/>
          <w:lang w:val="hr-HR"/>
        </w:rPr>
        <w:t>planira se</w:t>
      </w:r>
      <w:r w:rsidRPr="00066B96">
        <w:rPr>
          <w:sz w:val="24"/>
          <w:lang w:val="hr-HR"/>
        </w:rPr>
        <w:t xml:space="preserve"> ukupna </w:t>
      </w:r>
      <w:r w:rsidR="005F6370">
        <w:rPr>
          <w:sz w:val="24"/>
          <w:lang w:val="hr-HR"/>
        </w:rPr>
        <w:t xml:space="preserve">masa </w:t>
      </w:r>
      <w:r w:rsidR="00B71394">
        <w:rPr>
          <w:sz w:val="24"/>
          <w:lang w:val="hr-HR"/>
        </w:rPr>
        <w:t>sredstva</w:t>
      </w:r>
      <w:r w:rsidR="00050008">
        <w:rPr>
          <w:sz w:val="24"/>
          <w:lang w:val="hr-HR"/>
        </w:rPr>
        <w:t xml:space="preserve"> od </w:t>
      </w:r>
      <w:r w:rsidR="00184EA4">
        <w:rPr>
          <w:sz w:val="24"/>
          <w:lang w:val="hr-HR"/>
        </w:rPr>
        <w:t>32,891mil</w:t>
      </w:r>
      <w:r w:rsidR="00050008">
        <w:rPr>
          <w:sz w:val="24"/>
          <w:lang w:val="hr-HR"/>
        </w:rPr>
        <w:t xml:space="preserve">.KM, i za </w:t>
      </w:r>
      <w:r w:rsidR="00184EA4">
        <w:rPr>
          <w:sz w:val="24"/>
          <w:lang w:val="hr-HR"/>
        </w:rPr>
        <w:t>8,4</w:t>
      </w:r>
      <w:r w:rsidRPr="00066B96">
        <w:rPr>
          <w:sz w:val="24"/>
          <w:lang w:val="hr-HR"/>
        </w:rPr>
        <w:t xml:space="preserve"> % </w:t>
      </w:r>
      <w:r w:rsidR="005F6370">
        <w:rPr>
          <w:sz w:val="24"/>
          <w:lang w:val="hr-HR"/>
        </w:rPr>
        <w:t xml:space="preserve">su </w:t>
      </w:r>
      <w:r w:rsidR="00184EA4">
        <w:rPr>
          <w:sz w:val="24"/>
          <w:lang w:val="hr-HR"/>
        </w:rPr>
        <w:t xml:space="preserve">manji </w:t>
      </w:r>
      <w:r w:rsidRPr="00066B96">
        <w:rPr>
          <w:sz w:val="24"/>
          <w:lang w:val="hr-HR"/>
        </w:rPr>
        <w:t>u odnosu na 20</w:t>
      </w:r>
      <w:r w:rsidR="00184EA4">
        <w:rPr>
          <w:sz w:val="24"/>
          <w:lang w:val="hr-HR"/>
        </w:rPr>
        <w:t>20</w:t>
      </w:r>
      <w:r w:rsidR="00050008">
        <w:rPr>
          <w:sz w:val="24"/>
          <w:lang w:val="hr-HR"/>
        </w:rPr>
        <w:t xml:space="preserve">. </w:t>
      </w:r>
      <w:r w:rsidR="00AE66B1">
        <w:rPr>
          <w:sz w:val="24"/>
          <w:lang w:val="hr-HR"/>
        </w:rPr>
        <w:t>g</w:t>
      </w:r>
      <w:r w:rsidR="00050008">
        <w:rPr>
          <w:sz w:val="24"/>
          <w:lang w:val="hr-HR"/>
        </w:rPr>
        <w:t xml:space="preserve">odinu. </w:t>
      </w:r>
      <w:r w:rsidRPr="00066B96">
        <w:rPr>
          <w:sz w:val="24"/>
          <w:lang w:val="hr-HR"/>
        </w:rPr>
        <w:t>U 20</w:t>
      </w:r>
      <w:r w:rsidR="00771A02">
        <w:rPr>
          <w:sz w:val="24"/>
          <w:lang w:val="hr-HR"/>
        </w:rPr>
        <w:t>21</w:t>
      </w:r>
      <w:r w:rsidR="00184EA4">
        <w:rPr>
          <w:sz w:val="24"/>
          <w:lang w:val="hr-HR"/>
        </w:rPr>
        <w:t>2</w:t>
      </w:r>
      <w:r w:rsidRPr="00066B96">
        <w:rPr>
          <w:sz w:val="24"/>
          <w:lang w:val="hr-HR"/>
        </w:rPr>
        <w:t xml:space="preserve">. godini  transferi su planirani u iznosu od </w:t>
      </w:r>
      <w:r w:rsidR="00184EA4">
        <w:rPr>
          <w:sz w:val="24"/>
          <w:lang w:val="hr-HR"/>
        </w:rPr>
        <w:t>35,6</w:t>
      </w:r>
      <w:r w:rsidRPr="00066B96">
        <w:rPr>
          <w:sz w:val="24"/>
          <w:lang w:val="hr-HR"/>
        </w:rPr>
        <w:t xml:space="preserve"> mil. KM, dok u 20</w:t>
      </w:r>
      <w:r w:rsidR="006B3C3C">
        <w:rPr>
          <w:sz w:val="24"/>
          <w:lang w:val="hr-HR"/>
        </w:rPr>
        <w:t>2</w:t>
      </w:r>
      <w:r w:rsidR="00184EA4">
        <w:rPr>
          <w:sz w:val="24"/>
          <w:lang w:val="hr-HR"/>
        </w:rPr>
        <w:t>3</w:t>
      </w:r>
      <w:r w:rsidR="006B3C3C">
        <w:rPr>
          <w:sz w:val="24"/>
          <w:lang w:val="hr-HR"/>
        </w:rPr>
        <w:t>.</w:t>
      </w:r>
      <w:r w:rsidRPr="00066B96">
        <w:rPr>
          <w:sz w:val="24"/>
          <w:lang w:val="hr-HR"/>
        </w:rPr>
        <w:t xml:space="preserve"> bi iznosili  </w:t>
      </w:r>
      <w:r w:rsidR="00184EA4">
        <w:rPr>
          <w:sz w:val="24"/>
          <w:lang w:val="hr-HR"/>
        </w:rPr>
        <w:t>39,9</w:t>
      </w:r>
      <w:r w:rsidRPr="00066B96">
        <w:rPr>
          <w:sz w:val="24"/>
          <w:lang w:val="hr-HR"/>
        </w:rPr>
        <w:t xml:space="preserve"> mil. KM.</w:t>
      </w:r>
      <w:bookmarkStart w:id="84" w:name="_Toc266777682"/>
      <w:bookmarkStart w:id="85" w:name="_Toc266779177"/>
    </w:p>
    <w:p w:rsidR="00066B96" w:rsidRDefault="00780E5B" w:rsidP="006B3C3C">
      <w:pPr>
        <w:jc w:val="both"/>
        <w:rPr>
          <w:sz w:val="24"/>
          <w:szCs w:val="24"/>
          <w:lang w:val="hr-HR"/>
        </w:rPr>
      </w:pPr>
      <w:r w:rsidRPr="003E13DA">
        <w:rPr>
          <w:sz w:val="24"/>
          <w:szCs w:val="24"/>
          <w:lang w:val="hr-HR"/>
        </w:rPr>
        <w:t xml:space="preserve">         </w:t>
      </w:r>
    </w:p>
    <w:p w:rsidR="00E57AD0" w:rsidRDefault="00066B96" w:rsidP="00066B96">
      <w:pPr>
        <w:jc w:val="both"/>
        <w:rPr>
          <w:sz w:val="24"/>
          <w:lang w:val="hr-HR"/>
        </w:rPr>
      </w:pPr>
      <w:r>
        <w:rPr>
          <w:sz w:val="24"/>
          <w:lang w:val="hr-HR"/>
        </w:rPr>
        <w:tab/>
      </w:r>
      <w:r w:rsidR="00E57AD0" w:rsidRPr="00E57AD0">
        <w:rPr>
          <w:b/>
          <w:sz w:val="24"/>
          <w:lang w:val="hr-HR"/>
        </w:rPr>
        <w:t>Kapitalni grantovi</w:t>
      </w:r>
      <w:r w:rsidR="00E57AD0">
        <w:rPr>
          <w:sz w:val="24"/>
          <w:lang w:val="hr-HR"/>
        </w:rPr>
        <w:t xml:space="preserve"> </w:t>
      </w:r>
      <w:r w:rsidR="00E57AD0" w:rsidRPr="00E57AD0">
        <w:rPr>
          <w:sz w:val="24"/>
          <w:lang w:val="hr-HR"/>
        </w:rPr>
        <w:t>uglavnom su planirani iz na</w:t>
      </w:r>
      <w:r w:rsidR="00E57AD0">
        <w:rPr>
          <w:sz w:val="24"/>
          <w:lang w:val="hr-HR"/>
        </w:rPr>
        <w:t>m</w:t>
      </w:r>
      <w:r w:rsidR="00E57AD0" w:rsidRPr="00E57AD0">
        <w:rPr>
          <w:sz w:val="24"/>
          <w:lang w:val="hr-HR"/>
        </w:rPr>
        <w:t>jenskih sredstava</w:t>
      </w:r>
      <w:r w:rsidRPr="00E57AD0">
        <w:rPr>
          <w:sz w:val="24"/>
          <w:lang w:val="hr-HR"/>
        </w:rPr>
        <w:t xml:space="preserve"> </w:t>
      </w:r>
      <w:r w:rsidR="00E57AD0">
        <w:rPr>
          <w:sz w:val="24"/>
          <w:lang w:val="hr-HR"/>
        </w:rPr>
        <w:t xml:space="preserve">i u posmatranom periodu procentualno se nalaza na približno istom nivou. </w:t>
      </w:r>
    </w:p>
    <w:p w:rsidR="000E73DF" w:rsidRDefault="00E57AD0" w:rsidP="00066B96">
      <w:pPr>
        <w:jc w:val="both"/>
        <w:rPr>
          <w:sz w:val="24"/>
          <w:lang w:val="hr-HR"/>
        </w:rPr>
      </w:pPr>
      <w:r>
        <w:rPr>
          <w:sz w:val="24"/>
          <w:lang w:val="hr-HR"/>
        </w:rPr>
        <w:tab/>
      </w:r>
    </w:p>
    <w:p w:rsidR="00F33823" w:rsidRDefault="00E57AD0" w:rsidP="00066B96">
      <w:pPr>
        <w:jc w:val="both"/>
        <w:rPr>
          <w:sz w:val="24"/>
          <w:lang w:val="hr-HR"/>
        </w:rPr>
      </w:pPr>
      <w:r w:rsidRPr="00E57AD0">
        <w:rPr>
          <w:b/>
          <w:sz w:val="24"/>
          <w:lang w:val="hr-HR"/>
        </w:rPr>
        <w:t>Izdaci za kamate</w:t>
      </w:r>
      <w:r>
        <w:rPr>
          <w:sz w:val="24"/>
          <w:lang w:val="hr-HR"/>
        </w:rPr>
        <w:t xml:space="preserve"> </w:t>
      </w:r>
      <w:r w:rsidRPr="00E57AD0">
        <w:rPr>
          <w:b/>
          <w:sz w:val="24"/>
          <w:lang w:val="hr-HR"/>
        </w:rPr>
        <w:t>i otplate dugova</w:t>
      </w:r>
      <w:r>
        <w:rPr>
          <w:sz w:val="24"/>
          <w:lang w:val="hr-HR"/>
        </w:rPr>
        <w:t xml:space="preserve"> su planirani prema otplatnim planovima kredita za koje kanton treba da obezbjedi sredstava za servisiranje obaveza. </w:t>
      </w:r>
    </w:p>
    <w:p w:rsidR="009F3FA7" w:rsidRDefault="009F3FA7" w:rsidP="00066B96">
      <w:pPr>
        <w:jc w:val="both"/>
        <w:rPr>
          <w:sz w:val="24"/>
          <w:lang w:val="hr-HR"/>
        </w:rPr>
      </w:pPr>
      <w:r>
        <w:rPr>
          <w:sz w:val="24"/>
          <w:lang w:val="hr-HR"/>
        </w:rPr>
        <w:tab/>
      </w:r>
      <w:r w:rsidRPr="009F3FA7">
        <w:rPr>
          <w:b/>
          <w:sz w:val="24"/>
          <w:lang w:val="hr-HR"/>
        </w:rPr>
        <w:t xml:space="preserve">Nabavka stalnih sredstava </w:t>
      </w:r>
      <w:r>
        <w:rPr>
          <w:sz w:val="24"/>
          <w:lang w:val="hr-HR"/>
        </w:rPr>
        <w:t>planira se na osnovu respoloživih sredstava u masi koja se u posmatranom periodu</w:t>
      </w:r>
      <w:r w:rsidR="006B3C3C">
        <w:rPr>
          <w:sz w:val="24"/>
          <w:lang w:val="hr-HR"/>
        </w:rPr>
        <w:t xml:space="preserve"> za 202</w:t>
      </w:r>
      <w:r w:rsidR="00184EA4">
        <w:rPr>
          <w:sz w:val="24"/>
          <w:lang w:val="hr-HR"/>
        </w:rPr>
        <w:t>1</w:t>
      </w:r>
      <w:r w:rsidR="006B3C3C">
        <w:rPr>
          <w:sz w:val="24"/>
          <w:lang w:val="hr-HR"/>
        </w:rPr>
        <w:t>. godinu</w:t>
      </w:r>
      <w:r>
        <w:rPr>
          <w:sz w:val="24"/>
          <w:lang w:val="hr-HR"/>
        </w:rPr>
        <w:t xml:space="preserve"> </w:t>
      </w:r>
      <w:r w:rsidR="006B3C3C">
        <w:rPr>
          <w:sz w:val="24"/>
          <w:lang w:val="hr-HR"/>
        </w:rPr>
        <w:t xml:space="preserve">planirana u iznosu </w:t>
      </w:r>
      <w:r>
        <w:rPr>
          <w:sz w:val="24"/>
          <w:lang w:val="hr-HR"/>
        </w:rPr>
        <w:t xml:space="preserve"> </w:t>
      </w:r>
      <w:r w:rsidR="00184EA4">
        <w:rPr>
          <w:sz w:val="24"/>
          <w:lang w:val="hr-HR"/>
        </w:rPr>
        <w:t>2,799</w:t>
      </w:r>
      <w:r>
        <w:rPr>
          <w:sz w:val="24"/>
          <w:lang w:val="hr-HR"/>
        </w:rPr>
        <w:t xml:space="preserve"> mil KM</w:t>
      </w:r>
      <w:r w:rsidR="006B3C3C">
        <w:rPr>
          <w:sz w:val="24"/>
          <w:lang w:val="hr-HR"/>
        </w:rPr>
        <w:t>, dok je za 202</w:t>
      </w:r>
      <w:r w:rsidR="00184EA4">
        <w:rPr>
          <w:sz w:val="24"/>
          <w:lang w:val="hr-HR"/>
        </w:rPr>
        <w:t>2</w:t>
      </w:r>
      <w:r w:rsidR="006B3C3C">
        <w:rPr>
          <w:sz w:val="24"/>
          <w:lang w:val="hr-HR"/>
        </w:rPr>
        <w:t>. i 202</w:t>
      </w:r>
      <w:r w:rsidR="00184EA4">
        <w:rPr>
          <w:sz w:val="24"/>
          <w:lang w:val="hr-HR"/>
        </w:rPr>
        <w:t>3</w:t>
      </w:r>
      <w:r w:rsidR="006B3C3C">
        <w:rPr>
          <w:sz w:val="24"/>
          <w:lang w:val="hr-HR"/>
        </w:rPr>
        <w:t xml:space="preserve">. godinu planirana u iznosu </w:t>
      </w:r>
      <w:r w:rsidR="00184EA4">
        <w:rPr>
          <w:sz w:val="24"/>
          <w:lang w:val="hr-HR"/>
        </w:rPr>
        <w:t>3</w:t>
      </w:r>
      <w:r w:rsidR="006B3C3C">
        <w:rPr>
          <w:sz w:val="24"/>
          <w:lang w:val="hr-HR"/>
        </w:rPr>
        <w:t>,00 mil.KM.</w:t>
      </w:r>
    </w:p>
    <w:p w:rsidR="001D09C0" w:rsidRDefault="001D09C0" w:rsidP="00066B96">
      <w:pPr>
        <w:jc w:val="both"/>
        <w:rPr>
          <w:sz w:val="24"/>
          <w:lang w:val="hr-HR"/>
        </w:rPr>
      </w:pPr>
    </w:p>
    <w:p w:rsidR="0057569A" w:rsidRDefault="009F39A9" w:rsidP="00066B96">
      <w:pPr>
        <w:jc w:val="both"/>
        <w:rPr>
          <w:sz w:val="24"/>
          <w:lang w:val="hr-HR"/>
        </w:rPr>
      </w:pPr>
      <w:r>
        <w:rPr>
          <w:sz w:val="24"/>
          <w:lang w:val="hr-HR"/>
        </w:rPr>
        <w:t>U narednom srednjoroćnom periodu, zbog novonastale situacije usporavanja ekonomskog rasta globalne ekonomije izazvane pandemijom korona virusa, značajno se umanjuje prihodovna strana budžeta kantona i jedinica lokalne samouprave.</w:t>
      </w:r>
    </w:p>
    <w:p w:rsidR="0057569A" w:rsidRDefault="0057569A" w:rsidP="00066B96">
      <w:pPr>
        <w:jc w:val="both"/>
        <w:rPr>
          <w:sz w:val="24"/>
          <w:lang w:val="hr-HR"/>
        </w:rPr>
      </w:pPr>
    </w:p>
    <w:p w:rsidR="00B90F3C" w:rsidRDefault="00B90F3C" w:rsidP="00066B96">
      <w:pPr>
        <w:jc w:val="both"/>
        <w:rPr>
          <w:sz w:val="24"/>
          <w:lang w:val="hr-HR"/>
        </w:rPr>
      </w:pPr>
    </w:p>
    <w:p w:rsidR="00B90F3C" w:rsidRDefault="00B90F3C" w:rsidP="00066B96">
      <w:pPr>
        <w:jc w:val="both"/>
        <w:rPr>
          <w:sz w:val="24"/>
          <w:lang w:val="hr-HR"/>
        </w:rPr>
      </w:pPr>
    </w:p>
    <w:p w:rsidR="009F39A9" w:rsidRDefault="009F39A9" w:rsidP="009F39A9">
      <w:pPr>
        <w:pStyle w:val="BodyText2Char"/>
        <w:jc w:val="both"/>
        <w:rPr>
          <w:szCs w:val="22"/>
          <w:lang w:val="bs-Latn-BA" w:eastAsia="bs-Latn-BA"/>
        </w:rPr>
      </w:pPr>
      <w:r w:rsidRPr="007D5F34">
        <w:rPr>
          <w:szCs w:val="22"/>
          <w:lang w:val="bs-Latn-BA" w:eastAsia="bs-Latn-BA"/>
        </w:rPr>
        <w:t>Tabela 3.</w:t>
      </w:r>
      <w:r>
        <w:rPr>
          <w:szCs w:val="22"/>
          <w:lang w:val="bs-Latn-BA" w:eastAsia="bs-Latn-BA"/>
        </w:rPr>
        <w:t>2</w:t>
      </w:r>
      <w:r w:rsidRPr="007D5F34">
        <w:rPr>
          <w:szCs w:val="22"/>
          <w:lang w:val="bs-Latn-BA" w:eastAsia="bs-Latn-BA"/>
        </w:rPr>
        <w:t>: Izvršenje budžeta za 201</w:t>
      </w:r>
      <w:r>
        <w:rPr>
          <w:szCs w:val="22"/>
          <w:lang w:val="bs-Latn-BA" w:eastAsia="bs-Latn-BA"/>
        </w:rPr>
        <w:t>9</w:t>
      </w:r>
      <w:r w:rsidRPr="007D5F34">
        <w:rPr>
          <w:szCs w:val="22"/>
          <w:lang w:val="bs-Latn-BA" w:eastAsia="bs-Latn-BA"/>
        </w:rPr>
        <w:t>. god., plan za 20</w:t>
      </w:r>
      <w:r>
        <w:rPr>
          <w:szCs w:val="22"/>
          <w:lang w:val="bs-Latn-BA" w:eastAsia="bs-Latn-BA"/>
        </w:rPr>
        <w:t>20</w:t>
      </w:r>
      <w:r w:rsidRPr="007D5F34">
        <w:rPr>
          <w:szCs w:val="22"/>
          <w:lang w:val="bs-Latn-BA" w:eastAsia="bs-Latn-BA"/>
        </w:rPr>
        <w:t>.g i procjena budžeta za period 202</w:t>
      </w:r>
      <w:r>
        <w:rPr>
          <w:szCs w:val="22"/>
          <w:lang w:val="bs-Latn-BA" w:eastAsia="bs-Latn-BA"/>
        </w:rPr>
        <w:t>1</w:t>
      </w:r>
      <w:r w:rsidRPr="007D5F34">
        <w:rPr>
          <w:szCs w:val="22"/>
          <w:lang w:val="bs-Latn-BA" w:eastAsia="bs-Latn-BA"/>
        </w:rPr>
        <w:t xml:space="preserve"> - 202</w:t>
      </w:r>
      <w:r>
        <w:rPr>
          <w:szCs w:val="22"/>
          <w:lang w:val="bs-Latn-BA" w:eastAsia="bs-Latn-BA"/>
        </w:rPr>
        <w:t>3</w:t>
      </w:r>
      <w:r w:rsidRPr="007D5F34">
        <w:rPr>
          <w:szCs w:val="22"/>
          <w:lang w:val="bs-Latn-BA" w:eastAsia="bs-Latn-BA"/>
        </w:rPr>
        <w:t xml:space="preserve"> u mil. KM   </w:t>
      </w:r>
    </w:p>
    <w:tbl>
      <w:tblPr>
        <w:tblW w:w="9110" w:type="dxa"/>
        <w:tblInd w:w="108" w:type="dxa"/>
        <w:tblLook w:val="04A0"/>
      </w:tblPr>
      <w:tblGrid>
        <w:gridCol w:w="3406"/>
        <w:gridCol w:w="1447"/>
        <w:gridCol w:w="1070"/>
        <w:gridCol w:w="1063"/>
        <w:gridCol w:w="1062"/>
        <w:gridCol w:w="1062"/>
      </w:tblGrid>
      <w:tr w:rsidR="00184EA4" w:rsidRPr="00184EA4" w:rsidTr="0008230E">
        <w:trPr>
          <w:trHeight w:val="302"/>
        </w:trPr>
        <w:tc>
          <w:tcPr>
            <w:tcW w:w="3406" w:type="dxa"/>
            <w:tcBorders>
              <w:top w:val="nil"/>
              <w:left w:val="nil"/>
              <w:bottom w:val="nil"/>
              <w:right w:val="nil"/>
            </w:tcBorders>
            <w:shd w:val="clear" w:color="auto" w:fill="C5E0B3"/>
            <w:noWrap/>
            <w:vAlign w:val="bottom"/>
            <w:hideMark/>
          </w:tcPr>
          <w:p w:rsidR="00184EA4" w:rsidRPr="009F39A9" w:rsidRDefault="00184EA4" w:rsidP="00184EA4">
            <w:pPr>
              <w:rPr>
                <w:rFonts w:ascii="Calibri" w:hAnsi="Calibri" w:cs="Calibri"/>
                <w:szCs w:val="22"/>
                <w:lang w:eastAsia="en-GB"/>
              </w:rPr>
            </w:pPr>
            <w:r w:rsidRPr="009F39A9">
              <w:rPr>
                <w:rFonts w:ascii="Calibri" w:hAnsi="Calibri" w:cs="Calibri"/>
                <w:szCs w:val="22"/>
                <w:lang w:eastAsia="en-GB"/>
              </w:rPr>
              <w:t> </w:t>
            </w:r>
          </w:p>
        </w:tc>
        <w:tc>
          <w:tcPr>
            <w:tcW w:w="1447" w:type="dxa"/>
            <w:tcBorders>
              <w:top w:val="nil"/>
              <w:left w:val="nil"/>
              <w:bottom w:val="nil"/>
              <w:right w:val="nil"/>
            </w:tcBorders>
            <w:shd w:val="clear" w:color="auto" w:fill="C5E0B3"/>
            <w:noWrap/>
            <w:vAlign w:val="bottom"/>
            <w:hideMark/>
          </w:tcPr>
          <w:p w:rsidR="00184EA4" w:rsidRPr="009F39A9" w:rsidRDefault="00184EA4" w:rsidP="00184EA4">
            <w:pPr>
              <w:jc w:val="center"/>
              <w:rPr>
                <w:rFonts w:ascii="Calibri" w:hAnsi="Calibri" w:cs="Calibri"/>
                <w:szCs w:val="22"/>
                <w:lang w:eastAsia="en-GB"/>
              </w:rPr>
            </w:pPr>
            <w:r w:rsidRPr="009F39A9">
              <w:rPr>
                <w:rFonts w:ascii="Calibri" w:hAnsi="Calibri" w:cs="Calibri"/>
                <w:szCs w:val="22"/>
                <w:lang w:eastAsia="en-GB"/>
              </w:rPr>
              <w:t xml:space="preserve">Ostvarenje </w:t>
            </w:r>
          </w:p>
        </w:tc>
        <w:tc>
          <w:tcPr>
            <w:tcW w:w="1070" w:type="dxa"/>
            <w:tcBorders>
              <w:top w:val="nil"/>
              <w:left w:val="nil"/>
              <w:bottom w:val="nil"/>
              <w:right w:val="nil"/>
            </w:tcBorders>
            <w:shd w:val="clear" w:color="auto" w:fill="C5E0B3"/>
            <w:noWrap/>
            <w:vAlign w:val="bottom"/>
            <w:hideMark/>
          </w:tcPr>
          <w:p w:rsidR="00184EA4" w:rsidRPr="009F39A9" w:rsidRDefault="00184EA4" w:rsidP="00184EA4">
            <w:pPr>
              <w:rPr>
                <w:rFonts w:ascii="Calibri" w:hAnsi="Calibri" w:cs="Calibri"/>
                <w:szCs w:val="22"/>
                <w:lang w:eastAsia="en-GB"/>
              </w:rPr>
            </w:pPr>
            <w:r w:rsidRPr="009F39A9">
              <w:rPr>
                <w:rFonts w:ascii="Calibri" w:hAnsi="Calibri" w:cs="Calibri"/>
                <w:szCs w:val="22"/>
                <w:lang w:eastAsia="en-GB"/>
              </w:rPr>
              <w:t>Plan</w:t>
            </w:r>
          </w:p>
        </w:tc>
        <w:tc>
          <w:tcPr>
            <w:tcW w:w="3187" w:type="dxa"/>
            <w:gridSpan w:val="3"/>
            <w:tcBorders>
              <w:top w:val="nil"/>
              <w:left w:val="nil"/>
              <w:bottom w:val="nil"/>
              <w:right w:val="nil"/>
            </w:tcBorders>
            <w:shd w:val="clear" w:color="auto" w:fill="C5E0B3"/>
            <w:noWrap/>
            <w:vAlign w:val="bottom"/>
            <w:hideMark/>
          </w:tcPr>
          <w:p w:rsidR="00184EA4" w:rsidRPr="009F39A9" w:rsidRDefault="00184EA4" w:rsidP="00184EA4">
            <w:pPr>
              <w:jc w:val="center"/>
              <w:rPr>
                <w:rFonts w:ascii="Calibri" w:hAnsi="Calibri" w:cs="Calibri"/>
                <w:szCs w:val="22"/>
                <w:lang w:eastAsia="en-GB"/>
              </w:rPr>
            </w:pPr>
            <w:r w:rsidRPr="009F39A9">
              <w:rPr>
                <w:rFonts w:ascii="Calibri" w:hAnsi="Calibri" w:cs="Calibri"/>
                <w:szCs w:val="22"/>
                <w:lang w:eastAsia="en-GB"/>
              </w:rPr>
              <w:t>Projekcije</w:t>
            </w:r>
          </w:p>
        </w:tc>
      </w:tr>
      <w:tr w:rsidR="00184EA4" w:rsidRPr="00184EA4" w:rsidTr="0008230E">
        <w:trPr>
          <w:trHeight w:val="302"/>
        </w:trPr>
        <w:tc>
          <w:tcPr>
            <w:tcW w:w="3406" w:type="dxa"/>
            <w:tcBorders>
              <w:top w:val="nil"/>
              <w:left w:val="nil"/>
              <w:bottom w:val="nil"/>
              <w:right w:val="nil"/>
            </w:tcBorders>
            <w:shd w:val="clear" w:color="auto" w:fill="D9D9D9"/>
            <w:noWrap/>
            <w:vAlign w:val="bottom"/>
            <w:hideMark/>
          </w:tcPr>
          <w:p w:rsidR="00184EA4" w:rsidRPr="00184EA4" w:rsidRDefault="00184EA4" w:rsidP="00184EA4">
            <w:pPr>
              <w:jc w:val="center"/>
              <w:rPr>
                <w:rFonts w:ascii="Calibri" w:hAnsi="Calibri" w:cs="Calibri"/>
                <w:color w:val="006100"/>
                <w:szCs w:val="22"/>
                <w:lang w:eastAsia="en-GB"/>
              </w:rPr>
            </w:pPr>
          </w:p>
        </w:tc>
        <w:tc>
          <w:tcPr>
            <w:tcW w:w="1447" w:type="dxa"/>
            <w:tcBorders>
              <w:top w:val="nil"/>
              <w:left w:val="nil"/>
              <w:bottom w:val="nil"/>
              <w:right w:val="nil"/>
            </w:tcBorders>
            <w:shd w:val="clear" w:color="auto" w:fill="D9D9D9"/>
            <w:noWrap/>
            <w:vAlign w:val="bottom"/>
            <w:hideMark/>
          </w:tcPr>
          <w:p w:rsidR="00184EA4" w:rsidRPr="00184EA4" w:rsidRDefault="00184EA4" w:rsidP="00184EA4">
            <w:pPr>
              <w:jc w:val="right"/>
              <w:rPr>
                <w:rFonts w:ascii="Calibri" w:hAnsi="Calibri" w:cs="Calibri"/>
                <w:color w:val="000000"/>
                <w:sz w:val="16"/>
                <w:szCs w:val="16"/>
                <w:lang w:eastAsia="en-GB"/>
              </w:rPr>
            </w:pPr>
            <w:r w:rsidRPr="00184EA4">
              <w:rPr>
                <w:rFonts w:ascii="Calibri" w:hAnsi="Calibri" w:cs="Calibri"/>
                <w:color w:val="000000"/>
                <w:sz w:val="16"/>
                <w:szCs w:val="16"/>
                <w:lang w:eastAsia="en-GB"/>
              </w:rPr>
              <w:t>2019</w:t>
            </w:r>
          </w:p>
        </w:tc>
        <w:tc>
          <w:tcPr>
            <w:tcW w:w="1070" w:type="dxa"/>
            <w:tcBorders>
              <w:top w:val="nil"/>
              <w:left w:val="nil"/>
              <w:bottom w:val="nil"/>
              <w:right w:val="nil"/>
            </w:tcBorders>
            <w:shd w:val="clear" w:color="auto" w:fill="D9D9D9"/>
            <w:noWrap/>
            <w:vAlign w:val="bottom"/>
            <w:hideMark/>
          </w:tcPr>
          <w:p w:rsidR="00184EA4" w:rsidRPr="00184EA4" w:rsidRDefault="00184EA4" w:rsidP="00184EA4">
            <w:pPr>
              <w:jc w:val="right"/>
              <w:rPr>
                <w:rFonts w:ascii="Calibri" w:hAnsi="Calibri" w:cs="Calibri"/>
                <w:color w:val="000000"/>
                <w:sz w:val="16"/>
                <w:szCs w:val="16"/>
                <w:lang w:eastAsia="en-GB"/>
              </w:rPr>
            </w:pPr>
            <w:r w:rsidRPr="00184EA4">
              <w:rPr>
                <w:rFonts w:ascii="Calibri" w:hAnsi="Calibri" w:cs="Calibri"/>
                <w:color w:val="000000"/>
                <w:sz w:val="16"/>
                <w:szCs w:val="16"/>
                <w:lang w:eastAsia="en-GB"/>
              </w:rPr>
              <w:t>2020</w:t>
            </w:r>
          </w:p>
        </w:tc>
        <w:tc>
          <w:tcPr>
            <w:tcW w:w="1063" w:type="dxa"/>
            <w:tcBorders>
              <w:top w:val="nil"/>
              <w:left w:val="nil"/>
              <w:bottom w:val="nil"/>
              <w:right w:val="nil"/>
            </w:tcBorders>
            <w:shd w:val="clear" w:color="auto" w:fill="D9D9D9"/>
            <w:noWrap/>
            <w:vAlign w:val="bottom"/>
            <w:hideMark/>
          </w:tcPr>
          <w:p w:rsidR="00184EA4" w:rsidRPr="00184EA4" w:rsidRDefault="00184EA4" w:rsidP="00184EA4">
            <w:pPr>
              <w:jc w:val="right"/>
              <w:rPr>
                <w:rFonts w:ascii="Calibri" w:hAnsi="Calibri" w:cs="Calibri"/>
                <w:color w:val="000000"/>
                <w:sz w:val="16"/>
                <w:szCs w:val="16"/>
                <w:lang w:eastAsia="en-GB"/>
              </w:rPr>
            </w:pPr>
            <w:r w:rsidRPr="00184EA4">
              <w:rPr>
                <w:rFonts w:ascii="Calibri" w:hAnsi="Calibri" w:cs="Calibri"/>
                <w:color w:val="000000"/>
                <w:sz w:val="16"/>
                <w:szCs w:val="16"/>
                <w:lang w:eastAsia="en-GB"/>
              </w:rPr>
              <w:t>2021</w:t>
            </w:r>
          </w:p>
        </w:tc>
        <w:tc>
          <w:tcPr>
            <w:tcW w:w="1062" w:type="dxa"/>
            <w:tcBorders>
              <w:top w:val="nil"/>
              <w:left w:val="nil"/>
              <w:bottom w:val="nil"/>
              <w:right w:val="nil"/>
            </w:tcBorders>
            <w:shd w:val="clear" w:color="auto" w:fill="D9D9D9"/>
            <w:noWrap/>
            <w:vAlign w:val="bottom"/>
            <w:hideMark/>
          </w:tcPr>
          <w:p w:rsidR="00184EA4" w:rsidRPr="00184EA4" w:rsidRDefault="00184EA4" w:rsidP="00184EA4">
            <w:pPr>
              <w:jc w:val="right"/>
              <w:rPr>
                <w:rFonts w:ascii="Calibri" w:hAnsi="Calibri" w:cs="Calibri"/>
                <w:color w:val="000000"/>
                <w:sz w:val="16"/>
                <w:szCs w:val="16"/>
                <w:lang w:eastAsia="en-GB"/>
              </w:rPr>
            </w:pPr>
            <w:r w:rsidRPr="00184EA4">
              <w:rPr>
                <w:rFonts w:ascii="Calibri" w:hAnsi="Calibri" w:cs="Calibri"/>
                <w:color w:val="000000"/>
                <w:sz w:val="16"/>
                <w:szCs w:val="16"/>
                <w:lang w:eastAsia="en-GB"/>
              </w:rPr>
              <w:t>2022</w:t>
            </w:r>
          </w:p>
        </w:tc>
        <w:tc>
          <w:tcPr>
            <w:tcW w:w="1062" w:type="dxa"/>
            <w:tcBorders>
              <w:top w:val="nil"/>
              <w:left w:val="nil"/>
              <w:bottom w:val="nil"/>
              <w:right w:val="nil"/>
            </w:tcBorders>
            <w:shd w:val="clear" w:color="auto" w:fill="D9D9D9"/>
            <w:noWrap/>
            <w:vAlign w:val="bottom"/>
            <w:hideMark/>
          </w:tcPr>
          <w:p w:rsidR="00184EA4" w:rsidRPr="00184EA4" w:rsidRDefault="00184EA4" w:rsidP="00184EA4">
            <w:pPr>
              <w:jc w:val="right"/>
              <w:rPr>
                <w:rFonts w:ascii="Calibri" w:hAnsi="Calibri" w:cs="Calibri"/>
                <w:color w:val="000000"/>
                <w:sz w:val="16"/>
                <w:szCs w:val="16"/>
                <w:lang w:eastAsia="en-GB"/>
              </w:rPr>
            </w:pPr>
            <w:r w:rsidRPr="00184EA4">
              <w:rPr>
                <w:rFonts w:ascii="Calibri" w:hAnsi="Calibri" w:cs="Calibri"/>
                <w:color w:val="000000"/>
                <w:sz w:val="16"/>
                <w:szCs w:val="16"/>
                <w:lang w:eastAsia="en-GB"/>
              </w:rPr>
              <w:t>2023</w:t>
            </w:r>
          </w:p>
        </w:tc>
      </w:tr>
      <w:tr w:rsidR="00184EA4" w:rsidRPr="00184EA4" w:rsidTr="009F39A9">
        <w:trPr>
          <w:trHeight w:val="302"/>
        </w:trPr>
        <w:tc>
          <w:tcPr>
            <w:tcW w:w="3406" w:type="dxa"/>
            <w:tcBorders>
              <w:top w:val="nil"/>
              <w:left w:val="nil"/>
              <w:bottom w:val="nil"/>
              <w:right w:val="nil"/>
            </w:tcBorders>
            <w:shd w:val="clear" w:color="auto" w:fill="auto"/>
            <w:noWrap/>
            <w:vAlign w:val="bottom"/>
            <w:hideMark/>
          </w:tcPr>
          <w:p w:rsidR="00184EA4" w:rsidRPr="00184EA4" w:rsidRDefault="00184EA4" w:rsidP="00184EA4">
            <w:pPr>
              <w:rPr>
                <w:rFonts w:ascii="Calibri" w:hAnsi="Calibri" w:cs="Calibri"/>
                <w:color w:val="000000"/>
                <w:szCs w:val="22"/>
                <w:lang w:eastAsia="en-GB"/>
              </w:rPr>
            </w:pPr>
            <w:r w:rsidRPr="00184EA4">
              <w:rPr>
                <w:rFonts w:ascii="Calibri" w:hAnsi="Calibri" w:cs="Calibri"/>
                <w:color w:val="000000"/>
                <w:szCs w:val="22"/>
                <w:lang w:eastAsia="en-GB"/>
              </w:rPr>
              <w:t>prihodi i primici</w:t>
            </w:r>
          </w:p>
        </w:tc>
        <w:tc>
          <w:tcPr>
            <w:tcW w:w="1447" w:type="dxa"/>
            <w:tcBorders>
              <w:top w:val="nil"/>
              <w:left w:val="nil"/>
              <w:bottom w:val="nil"/>
              <w:right w:val="nil"/>
            </w:tcBorders>
            <w:shd w:val="clear" w:color="000000" w:fill="FFFFFF"/>
            <w:noWrap/>
            <w:vAlign w:val="bottom"/>
            <w:hideMark/>
          </w:tcPr>
          <w:p w:rsidR="00184EA4" w:rsidRPr="00184EA4" w:rsidRDefault="00184EA4" w:rsidP="00184EA4">
            <w:pPr>
              <w:jc w:val="right"/>
              <w:rPr>
                <w:rFonts w:ascii="Calibri" w:hAnsi="Calibri" w:cs="Calibri"/>
                <w:color w:val="000000"/>
                <w:sz w:val="16"/>
                <w:szCs w:val="16"/>
                <w:lang w:eastAsia="en-GB"/>
              </w:rPr>
            </w:pPr>
            <w:r w:rsidRPr="00184EA4">
              <w:rPr>
                <w:rFonts w:ascii="Calibri" w:hAnsi="Calibri" w:cs="Calibri"/>
                <w:color w:val="000000"/>
                <w:sz w:val="16"/>
                <w:szCs w:val="16"/>
                <w:lang w:eastAsia="en-GB"/>
              </w:rPr>
              <w:t>197,56</w:t>
            </w:r>
          </w:p>
        </w:tc>
        <w:tc>
          <w:tcPr>
            <w:tcW w:w="1070" w:type="dxa"/>
            <w:tcBorders>
              <w:top w:val="nil"/>
              <w:left w:val="nil"/>
              <w:bottom w:val="nil"/>
              <w:right w:val="nil"/>
            </w:tcBorders>
            <w:shd w:val="clear" w:color="000000" w:fill="FFFFFF"/>
            <w:noWrap/>
            <w:vAlign w:val="bottom"/>
            <w:hideMark/>
          </w:tcPr>
          <w:p w:rsidR="00184EA4" w:rsidRPr="00184EA4" w:rsidRDefault="00184EA4" w:rsidP="00184EA4">
            <w:pPr>
              <w:jc w:val="right"/>
              <w:rPr>
                <w:rFonts w:ascii="Calibri" w:hAnsi="Calibri" w:cs="Calibri"/>
                <w:color w:val="000000"/>
                <w:sz w:val="16"/>
                <w:szCs w:val="16"/>
                <w:lang w:eastAsia="en-GB"/>
              </w:rPr>
            </w:pPr>
            <w:r w:rsidRPr="00184EA4">
              <w:rPr>
                <w:rFonts w:ascii="Calibri" w:hAnsi="Calibri" w:cs="Calibri"/>
                <w:color w:val="000000"/>
                <w:sz w:val="16"/>
                <w:szCs w:val="16"/>
                <w:lang w:eastAsia="en-GB"/>
              </w:rPr>
              <w:t>202,91</w:t>
            </w:r>
          </w:p>
        </w:tc>
        <w:tc>
          <w:tcPr>
            <w:tcW w:w="1063" w:type="dxa"/>
            <w:tcBorders>
              <w:top w:val="nil"/>
              <w:left w:val="nil"/>
              <w:bottom w:val="nil"/>
              <w:right w:val="nil"/>
            </w:tcBorders>
            <w:shd w:val="clear" w:color="000000" w:fill="FFFFFF"/>
            <w:noWrap/>
            <w:vAlign w:val="bottom"/>
            <w:hideMark/>
          </w:tcPr>
          <w:p w:rsidR="00184EA4" w:rsidRPr="00184EA4" w:rsidRDefault="00184EA4" w:rsidP="00184EA4">
            <w:pPr>
              <w:jc w:val="right"/>
              <w:rPr>
                <w:rFonts w:ascii="Calibri" w:hAnsi="Calibri" w:cs="Calibri"/>
                <w:color w:val="000000"/>
                <w:sz w:val="16"/>
                <w:szCs w:val="16"/>
                <w:lang w:eastAsia="en-GB"/>
              </w:rPr>
            </w:pPr>
            <w:r w:rsidRPr="00184EA4">
              <w:rPr>
                <w:rFonts w:ascii="Calibri" w:hAnsi="Calibri" w:cs="Calibri"/>
                <w:color w:val="000000"/>
                <w:sz w:val="16"/>
                <w:szCs w:val="16"/>
                <w:lang w:eastAsia="en-GB"/>
              </w:rPr>
              <w:t>184,05</w:t>
            </w:r>
          </w:p>
        </w:tc>
        <w:tc>
          <w:tcPr>
            <w:tcW w:w="1062" w:type="dxa"/>
            <w:tcBorders>
              <w:top w:val="nil"/>
              <w:left w:val="nil"/>
              <w:bottom w:val="nil"/>
              <w:right w:val="nil"/>
            </w:tcBorders>
            <w:shd w:val="clear" w:color="000000" w:fill="FFFFFF"/>
            <w:noWrap/>
            <w:vAlign w:val="bottom"/>
            <w:hideMark/>
          </w:tcPr>
          <w:p w:rsidR="00184EA4" w:rsidRPr="00184EA4" w:rsidRDefault="00184EA4" w:rsidP="00184EA4">
            <w:pPr>
              <w:jc w:val="right"/>
              <w:rPr>
                <w:rFonts w:ascii="Calibri" w:hAnsi="Calibri" w:cs="Calibri"/>
                <w:color w:val="000000"/>
                <w:sz w:val="16"/>
                <w:szCs w:val="16"/>
                <w:lang w:eastAsia="en-GB"/>
              </w:rPr>
            </w:pPr>
            <w:r w:rsidRPr="00184EA4">
              <w:rPr>
                <w:rFonts w:ascii="Calibri" w:hAnsi="Calibri" w:cs="Calibri"/>
                <w:color w:val="000000"/>
                <w:sz w:val="16"/>
                <w:szCs w:val="16"/>
                <w:lang w:eastAsia="en-GB"/>
              </w:rPr>
              <w:t>187,63</w:t>
            </w:r>
          </w:p>
        </w:tc>
        <w:tc>
          <w:tcPr>
            <w:tcW w:w="1062" w:type="dxa"/>
            <w:tcBorders>
              <w:top w:val="nil"/>
              <w:left w:val="nil"/>
              <w:bottom w:val="nil"/>
              <w:right w:val="nil"/>
            </w:tcBorders>
            <w:shd w:val="clear" w:color="000000" w:fill="FFFFFF"/>
            <w:noWrap/>
            <w:vAlign w:val="bottom"/>
            <w:hideMark/>
          </w:tcPr>
          <w:p w:rsidR="00184EA4" w:rsidRPr="00184EA4" w:rsidRDefault="00184EA4" w:rsidP="00184EA4">
            <w:pPr>
              <w:jc w:val="right"/>
              <w:rPr>
                <w:rFonts w:ascii="Calibri" w:hAnsi="Calibri" w:cs="Calibri"/>
                <w:color w:val="000000"/>
                <w:sz w:val="16"/>
                <w:szCs w:val="16"/>
                <w:lang w:eastAsia="en-GB"/>
              </w:rPr>
            </w:pPr>
            <w:r w:rsidRPr="00184EA4">
              <w:rPr>
                <w:rFonts w:ascii="Calibri" w:hAnsi="Calibri" w:cs="Calibri"/>
                <w:color w:val="000000"/>
                <w:sz w:val="16"/>
                <w:szCs w:val="16"/>
                <w:lang w:eastAsia="en-GB"/>
              </w:rPr>
              <w:t>191,34</w:t>
            </w:r>
          </w:p>
        </w:tc>
      </w:tr>
      <w:tr w:rsidR="00184EA4" w:rsidRPr="00184EA4" w:rsidTr="009F39A9">
        <w:trPr>
          <w:trHeight w:val="302"/>
        </w:trPr>
        <w:tc>
          <w:tcPr>
            <w:tcW w:w="3406" w:type="dxa"/>
            <w:tcBorders>
              <w:top w:val="nil"/>
              <w:left w:val="nil"/>
              <w:bottom w:val="nil"/>
              <w:right w:val="nil"/>
            </w:tcBorders>
            <w:shd w:val="clear" w:color="auto" w:fill="auto"/>
            <w:noWrap/>
            <w:vAlign w:val="bottom"/>
            <w:hideMark/>
          </w:tcPr>
          <w:p w:rsidR="00184EA4" w:rsidRPr="00184EA4" w:rsidRDefault="00184EA4" w:rsidP="00184EA4">
            <w:pPr>
              <w:rPr>
                <w:rFonts w:ascii="Calibri" w:hAnsi="Calibri" w:cs="Calibri"/>
                <w:color w:val="000000"/>
                <w:szCs w:val="22"/>
                <w:lang w:eastAsia="en-GB"/>
              </w:rPr>
            </w:pPr>
            <w:r w:rsidRPr="00184EA4">
              <w:rPr>
                <w:rFonts w:ascii="Calibri" w:hAnsi="Calibri" w:cs="Calibri"/>
                <w:color w:val="000000"/>
                <w:szCs w:val="22"/>
                <w:lang w:eastAsia="en-GB"/>
              </w:rPr>
              <w:t>rashodi i izdaci</w:t>
            </w:r>
          </w:p>
        </w:tc>
        <w:tc>
          <w:tcPr>
            <w:tcW w:w="1447" w:type="dxa"/>
            <w:tcBorders>
              <w:top w:val="nil"/>
              <w:left w:val="nil"/>
              <w:bottom w:val="nil"/>
              <w:right w:val="nil"/>
            </w:tcBorders>
            <w:shd w:val="clear" w:color="000000" w:fill="FFFFFF"/>
            <w:noWrap/>
            <w:vAlign w:val="bottom"/>
            <w:hideMark/>
          </w:tcPr>
          <w:p w:rsidR="00184EA4" w:rsidRPr="00184EA4" w:rsidRDefault="00184EA4" w:rsidP="00184EA4">
            <w:pPr>
              <w:jc w:val="right"/>
              <w:rPr>
                <w:rFonts w:ascii="Calibri" w:hAnsi="Calibri" w:cs="Calibri"/>
                <w:color w:val="000000"/>
                <w:sz w:val="16"/>
                <w:szCs w:val="16"/>
                <w:lang w:eastAsia="en-GB"/>
              </w:rPr>
            </w:pPr>
            <w:r w:rsidRPr="00184EA4">
              <w:rPr>
                <w:rFonts w:ascii="Calibri" w:hAnsi="Calibri" w:cs="Calibri"/>
                <w:color w:val="000000"/>
                <w:sz w:val="16"/>
                <w:szCs w:val="16"/>
                <w:lang w:eastAsia="en-GB"/>
              </w:rPr>
              <w:t>184,96</w:t>
            </w:r>
          </w:p>
        </w:tc>
        <w:tc>
          <w:tcPr>
            <w:tcW w:w="1070" w:type="dxa"/>
            <w:tcBorders>
              <w:top w:val="nil"/>
              <w:left w:val="nil"/>
              <w:bottom w:val="nil"/>
              <w:right w:val="nil"/>
            </w:tcBorders>
            <w:shd w:val="clear" w:color="000000" w:fill="FFFFFF"/>
            <w:noWrap/>
            <w:vAlign w:val="bottom"/>
            <w:hideMark/>
          </w:tcPr>
          <w:p w:rsidR="00184EA4" w:rsidRPr="00184EA4" w:rsidRDefault="00184EA4" w:rsidP="00184EA4">
            <w:pPr>
              <w:jc w:val="right"/>
              <w:rPr>
                <w:rFonts w:ascii="Calibri" w:hAnsi="Calibri" w:cs="Calibri"/>
                <w:color w:val="000000"/>
                <w:sz w:val="16"/>
                <w:szCs w:val="16"/>
                <w:lang w:eastAsia="en-GB"/>
              </w:rPr>
            </w:pPr>
            <w:r w:rsidRPr="00184EA4">
              <w:rPr>
                <w:rFonts w:ascii="Calibri" w:hAnsi="Calibri" w:cs="Calibri"/>
                <w:color w:val="000000"/>
                <w:sz w:val="16"/>
                <w:szCs w:val="16"/>
                <w:lang w:eastAsia="en-GB"/>
              </w:rPr>
              <w:t>211,43</w:t>
            </w:r>
          </w:p>
        </w:tc>
        <w:tc>
          <w:tcPr>
            <w:tcW w:w="1063" w:type="dxa"/>
            <w:tcBorders>
              <w:top w:val="nil"/>
              <w:left w:val="nil"/>
              <w:bottom w:val="nil"/>
              <w:right w:val="nil"/>
            </w:tcBorders>
            <w:shd w:val="clear" w:color="000000" w:fill="FFFFFF"/>
            <w:noWrap/>
            <w:vAlign w:val="bottom"/>
            <w:hideMark/>
          </w:tcPr>
          <w:p w:rsidR="00184EA4" w:rsidRPr="00184EA4" w:rsidRDefault="00184EA4" w:rsidP="00184EA4">
            <w:pPr>
              <w:jc w:val="right"/>
              <w:rPr>
                <w:rFonts w:ascii="Calibri" w:hAnsi="Calibri" w:cs="Calibri"/>
                <w:color w:val="000000"/>
                <w:sz w:val="16"/>
                <w:szCs w:val="16"/>
                <w:lang w:eastAsia="en-GB"/>
              </w:rPr>
            </w:pPr>
            <w:r w:rsidRPr="00184EA4">
              <w:rPr>
                <w:rFonts w:ascii="Calibri" w:hAnsi="Calibri" w:cs="Calibri"/>
                <w:color w:val="000000"/>
                <w:sz w:val="16"/>
                <w:szCs w:val="16"/>
                <w:lang w:eastAsia="en-GB"/>
              </w:rPr>
              <w:t>200,95</w:t>
            </w:r>
          </w:p>
        </w:tc>
        <w:tc>
          <w:tcPr>
            <w:tcW w:w="1062" w:type="dxa"/>
            <w:tcBorders>
              <w:top w:val="nil"/>
              <w:left w:val="nil"/>
              <w:bottom w:val="nil"/>
              <w:right w:val="nil"/>
            </w:tcBorders>
            <w:shd w:val="clear" w:color="000000" w:fill="FFFFFF"/>
            <w:noWrap/>
            <w:vAlign w:val="bottom"/>
            <w:hideMark/>
          </w:tcPr>
          <w:p w:rsidR="00184EA4" w:rsidRPr="00184EA4" w:rsidRDefault="00184EA4" w:rsidP="00184EA4">
            <w:pPr>
              <w:jc w:val="right"/>
              <w:rPr>
                <w:rFonts w:ascii="Calibri" w:hAnsi="Calibri" w:cs="Calibri"/>
                <w:color w:val="000000"/>
                <w:sz w:val="16"/>
                <w:szCs w:val="16"/>
                <w:lang w:eastAsia="en-GB"/>
              </w:rPr>
            </w:pPr>
            <w:r w:rsidRPr="00184EA4">
              <w:rPr>
                <w:rFonts w:ascii="Calibri" w:hAnsi="Calibri" w:cs="Calibri"/>
                <w:color w:val="000000"/>
                <w:sz w:val="16"/>
                <w:szCs w:val="16"/>
                <w:lang w:eastAsia="en-GB"/>
              </w:rPr>
              <w:t>217,59</w:t>
            </w:r>
          </w:p>
        </w:tc>
        <w:tc>
          <w:tcPr>
            <w:tcW w:w="1062" w:type="dxa"/>
            <w:tcBorders>
              <w:top w:val="nil"/>
              <w:left w:val="nil"/>
              <w:bottom w:val="nil"/>
              <w:right w:val="nil"/>
            </w:tcBorders>
            <w:shd w:val="clear" w:color="000000" w:fill="FFFFFF"/>
            <w:noWrap/>
            <w:vAlign w:val="bottom"/>
            <w:hideMark/>
          </w:tcPr>
          <w:p w:rsidR="00184EA4" w:rsidRPr="00184EA4" w:rsidRDefault="00184EA4" w:rsidP="00184EA4">
            <w:pPr>
              <w:jc w:val="right"/>
              <w:rPr>
                <w:rFonts w:ascii="Calibri" w:hAnsi="Calibri" w:cs="Calibri"/>
                <w:color w:val="000000"/>
                <w:sz w:val="16"/>
                <w:szCs w:val="16"/>
                <w:lang w:eastAsia="en-GB"/>
              </w:rPr>
            </w:pPr>
            <w:r w:rsidRPr="00184EA4">
              <w:rPr>
                <w:rFonts w:ascii="Calibri" w:hAnsi="Calibri" w:cs="Calibri"/>
                <w:color w:val="000000"/>
                <w:sz w:val="16"/>
                <w:szCs w:val="16"/>
                <w:lang w:eastAsia="en-GB"/>
              </w:rPr>
              <w:t>227,66</w:t>
            </w:r>
          </w:p>
        </w:tc>
      </w:tr>
      <w:tr w:rsidR="00184EA4" w:rsidRPr="00184EA4" w:rsidTr="009F39A9">
        <w:trPr>
          <w:trHeight w:val="302"/>
        </w:trPr>
        <w:tc>
          <w:tcPr>
            <w:tcW w:w="3406" w:type="dxa"/>
            <w:tcBorders>
              <w:top w:val="nil"/>
              <w:left w:val="nil"/>
              <w:bottom w:val="nil"/>
              <w:right w:val="nil"/>
            </w:tcBorders>
            <w:shd w:val="clear" w:color="000000" w:fill="FFFFFF"/>
            <w:noWrap/>
            <w:vAlign w:val="bottom"/>
            <w:hideMark/>
          </w:tcPr>
          <w:p w:rsidR="00184EA4" w:rsidRPr="00184EA4" w:rsidRDefault="00184EA4" w:rsidP="00184EA4">
            <w:pPr>
              <w:rPr>
                <w:rFonts w:ascii="Calibri" w:hAnsi="Calibri" w:cs="Calibri"/>
                <w:color w:val="006100"/>
                <w:szCs w:val="22"/>
                <w:lang w:eastAsia="en-GB"/>
              </w:rPr>
            </w:pPr>
            <w:r w:rsidRPr="00184EA4">
              <w:rPr>
                <w:rFonts w:ascii="Calibri" w:hAnsi="Calibri" w:cs="Calibri"/>
                <w:color w:val="006100"/>
                <w:szCs w:val="22"/>
                <w:lang w:eastAsia="en-GB"/>
              </w:rPr>
              <w:t xml:space="preserve">stare obaveze </w:t>
            </w:r>
          </w:p>
        </w:tc>
        <w:tc>
          <w:tcPr>
            <w:tcW w:w="1447" w:type="dxa"/>
            <w:tcBorders>
              <w:top w:val="nil"/>
              <w:left w:val="nil"/>
              <w:bottom w:val="nil"/>
              <w:right w:val="nil"/>
            </w:tcBorders>
            <w:shd w:val="clear" w:color="000000" w:fill="FFFFFF"/>
            <w:noWrap/>
            <w:vAlign w:val="bottom"/>
            <w:hideMark/>
          </w:tcPr>
          <w:p w:rsidR="00184EA4" w:rsidRPr="00184EA4" w:rsidRDefault="00184EA4" w:rsidP="00184EA4">
            <w:pPr>
              <w:jc w:val="right"/>
              <w:rPr>
                <w:rFonts w:ascii="Calibri" w:hAnsi="Calibri" w:cs="Calibri"/>
                <w:color w:val="006100"/>
                <w:szCs w:val="22"/>
                <w:lang w:eastAsia="en-GB"/>
              </w:rPr>
            </w:pPr>
            <w:r w:rsidRPr="00184EA4">
              <w:rPr>
                <w:rFonts w:ascii="Calibri" w:hAnsi="Calibri" w:cs="Calibri"/>
                <w:color w:val="006100"/>
                <w:szCs w:val="22"/>
                <w:lang w:eastAsia="en-GB"/>
              </w:rPr>
              <w:t>7</w:t>
            </w:r>
          </w:p>
        </w:tc>
        <w:tc>
          <w:tcPr>
            <w:tcW w:w="1070" w:type="dxa"/>
            <w:tcBorders>
              <w:top w:val="nil"/>
              <w:left w:val="nil"/>
              <w:bottom w:val="nil"/>
              <w:right w:val="nil"/>
            </w:tcBorders>
            <w:shd w:val="clear" w:color="000000" w:fill="FFFFFF"/>
            <w:noWrap/>
            <w:vAlign w:val="bottom"/>
            <w:hideMark/>
          </w:tcPr>
          <w:p w:rsidR="00184EA4" w:rsidRPr="00184EA4" w:rsidRDefault="00184EA4" w:rsidP="00184EA4">
            <w:pPr>
              <w:jc w:val="right"/>
              <w:rPr>
                <w:rFonts w:ascii="Calibri" w:hAnsi="Calibri" w:cs="Calibri"/>
                <w:color w:val="006100"/>
                <w:szCs w:val="22"/>
                <w:lang w:eastAsia="en-GB"/>
              </w:rPr>
            </w:pPr>
            <w:r w:rsidRPr="00184EA4">
              <w:rPr>
                <w:rFonts w:ascii="Calibri" w:hAnsi="Calibri" w:cs="Calibri"/>
                <w:color w:val="006100"/>
                <w:szCs w:val="22"/>
                <w:lang w:eastAsia="en-GB"/>
              </w:rPr>
              <w:t>5,10</w:t>
            </w:r>
          </w:p>
        </w:tc>
        <w:tc>
          <w:tcPr>
            <w:tcW w:w="1063" w:type="dxa"/>
            <w:tcBorders>
              <w:top w:val="nil"/>
              <w:left w:val="nil"/>
              <w:bottom w:val="nil"/>
              <w:right w:val="nil"/>
            </w:tcBorders>
            <w:shd w:val="clear" w:color="000000" w:fill="FFFFFF"/>
            <w:noWrap/>
            <w:vAlign w:val="bottom"/>
            <w:hideMark/>
          </w:tcPr>
          <w:p w:rsidR="00184EA4" w:rsidRPr="00184EA4" w:rsidRDefault="00184EA4" w:rsidP="00184EA4">
            <w:pPr>
              <w:jc w:val="right"/>
              <w:rPr>
                <w:rFonts w:ascii="Calibri" w:hAnsi="Calibri" w:cs="Calibri"/>
                <w:color w:val="006100"/>
                <w:szCs w:val="22"/>
                <w:lang w:eastAsia="en-GB"/>
              </w:rPr>
            </w:pPr>
            <w:r w:rsidRPr="00184EA4">
              <w:rPr>
                <w:rFonts w:ascii="Calibri" w:hAnsi="Calibri" w:cs="Calibri"/>
                <w:color w:val="006100"/>
                <w:szCs w:val="22"/>
                <w:lang w:eastAsia="en-GB"/>
              </w:rPr>
              <w:t>6,00</w:t>
            </w:r>
          </w:p>
        </w:tc>
        <w:tc>
          <w:tcPr>
            <w:tcW w:w="1062" w:type="dxa"/>
            <w:tcBorders>
              <w:top w:val="nil"/>
              <w:left w:val="nil"/>
              <w:bottom w:val="nil"/>
              <w:right w:val="nil"/>
            </w:tcBorders>
            <w:shd w:val="clear" w:color="000000" w:fill="FFFFFF"/>
            <w:noWrap/>
            <w:vAlign w:val="bottom"/>
            <w:hideMark/>
          </w:tcPr>
          <w:p w:rsidR="00184EA4" w:rsidRPr="00184EA4" w:rsidRDefault="00184EA4" w:rsidP="00184EA4">
            <w:pPr>
              <w:jc w:val="right"/>
              <w:rPr>
                <w:rFonts w:ascii="Calibri" w:hAnsi="Calibri" w:cs="Calibri"/>
                <w:color w:val="006100"/>
                <w:szCs w:val="22"/>
                <w:lang w:eastAsia="en-GB"/>
              </w:rPr>
            </w:pPr>
            <w:r w:rsidRPr="00184EA4">
              <w:rPr>
                <w:rFonts w:ascii="Calibri" w:hAnsi="Calibri" w:cs="Calibri"/>
                <w:color w:val="006100"/>
                <w:szCs w:val="22"/>
                <w:lang w:eastAsia="en-GB"/>
              </w:rPr>
              <w:t>6,00</w:t>
            </w:r>
          </w:p>
        </w:tc>
        <w:tc>
          <w:tcPr>
            <w:tcW w:w="1062" w:type="dxa"/>
            <w:tcBorders>
              <w:top w:val="nil"/>
              <w:left w:val="nil"/>
              <w:bottom w:val="nil"/>
              <w:right w:val="nil"/>
            </w:tcBorders>
            <w:shd w:val="clear" w:color="000000" w:fill="FFFFFF"/>
            <w:noWrap/>
            <w:vAlign w:val="bottom"/>
            <w:hideMark/>
          </w:tcPr>
          <w:p w:rsidR="00184EA4" w:rsidRPr="00184EA4" w:rsidRDefault="00184EA4" w:rsidP="00184EA4">
            <w:pPr>
              <w:jc w:val="right"/>
              <w:rPr>
                <w:rFonts w:ascii="Calibri" w:hAnsi="Calibri" w:cs="Calibri"/>
                <w:color w:val="006100"/>
                <w:szCs w:val="22"/>
                <w:lang w:eastAsia="en-GB"/>
              </w:rPr>
            </w:pPr>
            <w:r w:rsidRPr="00184EA4">
              <w:rPr>
                <w:rFonts w:ascii="Calibri" w:hAnsi="Calibri" w:cs="Calibri"/>
                <w:color w:val="006100"/>
                <w:szCs w:val="22"/>
                <w:lang w:eastAsia="en-GB"/>
              </w:rPr>
              <w:t>6,00</w:t>
            </w:r>
          </w:p>
        </w:tc>
      </w:tr>
      <w:tr w:rsidR="00184EA4" w:rsidRPr="00184EA4" w:rsidTr="009F39A9">
        <w:trPr>
          <w:trHeight w:val="302"/>
        </w:trPr>
        <w:tc>
          <w:tcPr>
            <w:tcW w:w="3406" w:type="dxa"/>
            <w:tcBorders>
              <w:top w:val="nil"/>
              <w:left w:val="nil"/>
              <w:bottom w:val="nil"/>
              <w:right w:val="nil"/>
            </w:tcBorders>
            <w:shd w:val="clear" w:color="000000" w:fill="C6EFCE"/>
            <w:noWrap/>
            <w:vAlign w:val="bottom"/>
            <w:hideMark/>
          </w:tcPr>
          <w:p w:rsidR="00184EA4" w:rsidRPr="00184EA4" w:rsidRDefault="00184EA4" w:rsidP="00184EA4">
            <w:pPr>
              <w:rPr>
                <w:rFonts w:ascii="Calibri" w:hAnsi="Calibri" w:cs="Calibri"/>
                <w:color w:val="006100"/>
                <w:szCs w:val="22"/>
                <w:lang w:eastAsia="en-GB"/>
              </w:rPr>
            </w:pPr>
            <w:r w:rsidRPr="00184EA4">
              <w:rPr>
                <w:rFonts w:ascii="Calibri" w:hAnsi="Calibri" w:cs="Calibri"/>
                <w:color w:val="006100"/>
                <w:szCs w:val="22"/>
                <w:lang w:eastAsia="en-GB"/>
              </w:rPr>
              <w:t>suficit/ deficit</w:t>
            </w:r>
          </w:p>
        </w:tc>
        <w:tc>
          <w:tcPr>
            <w:tcW w:w="1447" w:type="dxa"/>
            <w:tcBorders>
              <w:top w:val="nil"/>
              <w:left w:val="nil"/>
              <w:bottom w:val="nil"/>
              <w:right w:val="nil"/>
            </w:tcBorders>
            <w:shd w:val="clear" w:color="000000" w:fill="C6EFCE"/>
            <w:noWrap/>
            <w:vAlign w:val="bottom"/>
            <w:hideMark/>
          </w:tcPr>
          <w:p w:rsidR="00184EA4" w:rsidRPr="00184EA4" w:rsidRDefault="00184EA4" w:rsidP="00184EA4">
            <w:pPr>
              <w:jc w:val="right"/>
              <w:rPr>
                <w:rFonts w:ascii="Calibri" w:hAnsi="Calibri" w:cs="Calibri"/>
                <w:color w:val="006100"/>
                <w:szCs w:val="22"/>
                <w:lang w:eastAsia="en-GB"/>
              </w:rPr>
            </w:pPr>
            <w:r w:rsidRPr="00184EA4">
              <w:rPr>
                <w:rFonts w:ascii="Calibri" w:hAnsi="Calibri" w:cs="Calibri"/>
                <w:color w:val="006100"/>
                <w:szCs w:val="22"/>
                <w:lang w:eastAsia="en-GB"/>
              </w:rPr>
              <w:t>5,60</w:t>
            </w:r>
          </w:p>
        </w:tc>
        <w:tc>
          <w:tcPr>
            <w:tcW w:w="1070" w:type="dxa"/>
            <w:tcBorders>
              <w:top w:val="nil"/>
              <w:left w:val="nil"/>
              <w:bottom w:val="nil"/>
              <w:right w:val="nil"/>
            </w:tcBorders>
            <w:shd w:val="clear" w:color="000000" w:fill="C6EFCE"/>
            <w:noWrap/>
            <w:vAlign w:val="bottom"/>
            <w:hideMark/>
          </w:tcPr>
          <w:p w:rsidR="00184EA4" w:rsidRPr="00184EA4" w:rsidRDefault="00184EA4" w:rsidP="00184EA4">
            <w:pPr>
              <w:jc w:val="right"/>
              <w:rPr>
                <w:rFonts w:ascii="Calibri" w:hAnsi="Calibri" w:cs="Calibri"/>
                <w:color w:val="006100"/>
                <w:szCs w:val="22"/>
                <w:lang w:eastAsia="en-GB"/>
              </w:rPr>
            </w:pPr>
            <w:r w:rsidRPr="00184EA4">
              <w:rPr>
                <w:rFonts w:ascii="Calibri" w:hAnsi="Calibri" w:cs="Calibri"/>
                <w:color w:val="006100"/>
                <w:szCs w:val="22"/>
                <w:lang w:eastAsia="en-GB"/>
              </w:rPr>
              <w:t>-13,62</w:t>
            </w:r>
          </w:p>
        </w:tc>
        <w:tc>
          <w:tcPr>
            <w:tcW w:w="1063" w:type="dxa"/>
            <w:tcBorders>
              <w:top w:val="nil"/>
              <w:left w:val="nil"/>
              <w:bottom w:val="nil"/>
              <w:right w:val="nil"/>
            </w:tcBorders>
            <w:shd w:val="clear" w:color="000000" w:fill="C6EFCE"/>
            <w:noWrap/>
            <w:vAlign w:val="bottom"/>
            <w:hideMark/>
          </w:tcPr>
          <w:p w:rsidR="00184EA4" w:rsidRPr="00184EA4" w:rsidRDefault="00184EA4" w:rsidP="00184EA4">
            <w:pPr>
              <w:jc w:val="right"/>
              <w:rPr>
                <w:rFonts w:ascii="Calibri" w:hAnsi="Calibri" w:cs="Calibri"/>
                <w:color w:val="006100"/>
                <w:szCs w:val="22"/>
                <w:lang w:eastAsia="en-GB"/>
              </w:rPr>
            </w:pPr>
            <w:r w:rsidRPr="00184EA4">
              <w:rPr>
                <w:rFonts w:ascii="Calibri" w:hAnsi="Calibri" w:cs="Calibri"/>
                <w:color w:val="006100"/>
                <w:szCs w:val="22"/>
                <w:lang w:eastAsia="en-GB"/>
              </w:rPr>
              <w:t>-22,90</w:t>
            </w:r>
          </w:p>
        </w:tc>
        <w:tc>
          <w:tcPr>
            <w:tcW w:w="1062" w:type="dxa"/>
            <w:tcBorders>
              <w:top w:val="nil"/>
              <w:left w:val="nil"/>
              <w:bottom w:val="nil"/>
              <w:right w:val="nil"/>
            </w:tcBorders>
            <w:shd w:val="clear" w:color="000000" w:fill="C6EFCE"/>
            <w:noWrap/>
            <w:vAlign w:val="bottom"/>
            <w:hideMark/>
          </w:tcPr>
          <w:p w:rsidR="00184EA4" w:rsidRPr="00184EA4" w:rsidRDefault="00184EA4" w:rsidP="00184EA4">
            <w:pPr>
              <w:jc w:val="right"/>
              <w:rPr>
                <w:rFonts w:ascii="Calibri" w:hAnsi="Calibri" w:cs="Calibri"/>
                <w:color w:val="006100"/>
                <w:szCs w:val="22"/>
                <w:lang w:eastAsia="en-GB"/>
              </w:rPr>
            </w:pPr>
            <w:r w:rsidRPr="00184EA4">
              <w:rPr>
                <w:rFonts w:ascii="Calibri" w:hAnsi="Calibri" w:cs="Calibri"/>
                <w:color w:val="006100"/>
                <w:szCs w:val="22"/>
                <w:lang w:eastAsia="en-GB"/>
              </w:rPr>
              <w:t>-35,95</w:t>
            </w:r>
          </w:p>
        </w:tc>
        <w:tc>
          <w:tcPr>
            <w:tcW w:w="1062" w:type="dxa"/>
            <w:tcBorders>
              <w:top w:val="nil"/>
              <w:left w:val="nil"/>
              <w:bottom w:val="nil"/>
              <w:right w:val="nil"/>
            </w:tcBorders>
            <w:shd w:val="clear" w:color="000000" w:fill="C6EFCE"/>
            <w:noWrap/>
            <w:vAlign w:val="bottom"/>
            <w:hideMark/>
          </w:tcPr>
          <w:p w:rsidR="00184EA4" w:rsidRPr="00184EA4" w:rsidRDefault="00184EA4" w:rsidP="00184EA4">
            <w:pPr>
              <w:jc w:val="right"/>
              <w:rPr>
                <w:rFonts w:ascii="Calibri" w:hAnsi="Calibri" w:cs="Calibri"/>
                <w:color w:val="006100"/>
                <w:szCs w:val="22"/>
                <w:lang w:eastAsia="en-GB"/>
              </w:rPr>
            </w:pPr>
            <w:r w:rsidRPr="00184EA4">
              <w:rPr>
                <w:rFonts w:ascii="Calibri" w:hAnsi="Calibri" w:cs="Calibri"/>
                <w:color w:val="006100"/>
                <w:szCs w:val="22"/>
                <w:lang w:eastAsia="en-GB"/>
              </w:rPr>
              <w:t>-42,33</w:t>
            </w:r>
          </w:p>
        </w:tc>
      </w:tr>
    </w:tbl>
    <w:p w:rsidR="009F39A9" w:rsidRDefault="009F39A9" w:rsidP="009F39A9">
      <w:pPr>
        <w:jc w:val="both"/>
        <w:rPr>
          <w:sz w:val="24"/>
          <w:lang w:val="hr-HR"/>
        </w:rPr>
      </w:pPr>
    </w:p>
    <w:p w:rsidR="009F39A9" w:rsidRDefault="009F39A9" w:rsidP="009F39A9">
      <w:pPr>
        <w:jc w:val="both"/>
        <w:rPr>
          <w:sz w:val="24"/>
          <w:lang w:val="hr-HR"/>
        </w:rPr>
      </w:pPr>
    </w:p>
    <w:p w:rsidR="009F39A9" w:rsidRPr="00777CAC" w:rsidRDefault="00777CAC" w:rsidP="009F39A9">
      <w:pPr>
        <w:jc w:val="both"/>
        <w:rPr>
          <w:szCs w:val="18"/>
          <w:lang w:val="hr-HR"/>
        </w:rPr>
      </w:pPr>
      <w:r w:rsidRPr="00777CAC">
        <w:rPr>
          <w:szCs w:val="18"/>
          <w:lang w:val="hr-HR"/>
        </w:rPr>
        <w:t>Graf 3.2</w:t>
      </w:r>
      <w:r>
        <w:rPr>
          <w:szCs w:val="18"/>
          <w:lang w:val="hr-HR"/>
        </w:rPr>
        <w:t xml:space="preserve"> prikaz prihoda i rashoda za period 2019-2023. godina</w:t>
      </w:r>
    </w:p>
    <w:p w:rsidR="009F39A9" w:rsidRPr="009F39A9" w:rsidRDefault="009F39A9" w:rsidP="009F39A9">
      <w:pPr>
        <w:jc w:val="both"/>
        <w:rPr>
          <w:sz w:val="20"/>
          <w:szCs w:val="24"/>
          <w:lang w:eastAsia="en-GB"/>
        </w:rPr>
      </w:pPr>
      <w:r w:rsidRPr="00370FCB">
        <w:rPr>
          <w:noProof/>
        </w:rPr>
        <w:object w:dxaOrig="9072" w:dyaOrig="6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300pt" o:ole="">
            <v:imagedata r:id="rId14" o:title=""/>
            <o:lock v:ext="edit" aspectratio="f"/>
          </v:shape>
          <o:OLEObject Type="Embed" ProgID="Excel.Chart.8" ShapeID="_x0000_i1025" DrawAspect="Content" ObjectID="_1654512137" r:id="rId15">
            <o:FieldCodes>\s</o:FieldCodes>
          </o:OLEObject>
        </w:object>
      </w:r>
    </w:p>
    <w:p w:rsidR="009F39A9" w:rsidRDefault="009F39A9" w:rsidP="009F39A9">
      <w:pPr>
        <w:jc w:val="both"/>
        <w:rPr>
          <w:b/>
          <w:sz w:val="24"/>
          <w:lang w:val="hr-HR"/>
        </w:rPr>
      </w:pPr>
    </w:p>
    <w:p w:rsidR="009F39A9" w:rsidRDefault="009F39A9" w:rsidP="009F39A9">
      <w:pPr>
        <w:jc w:val="both"/>
        <w:rPr>
          <w:sz w:val="24"/>
          <w:lang w:val="hr-HR"/>
        </w:rPr>
      </w:pPr>
      <w:r>
        <w:rPr>
          <w:sz w:val="24"/>
          <w:lang w:val="hr-HR"/>
        </w:rPr>
        <w:t>Na osnovu podataka iz tabele 3.</w:t>
      </w:r>
      <w:r w:rsidR="00777CAC">
        <w:rPr>
          <w:sz w:val="24"/>
          <w:lang w:val="hr-HR"/>
        </w:rPr>
        <w:t>2</w:t>
      </w:r>
      <w:r>
        <w:rPr>
          <w:sz w:val="24"/>
          <w:lang w:val="hr-HR"/>
        </w:rPr>
        <w:t>. ostvareni</w:t>
      </w:r>
      <w:r w:rsidR="00777CAC">
        <w:rPr>
          <w:sz w:val="24"/>
          <w:lang w:val="hr-HR"/>
        </w:rPr>
        <w:t xml:space="preserve"> ukupni</w:t>
      </w:r>
      <w:r>
        <w:rPr>
          <w:sz w:val="24"/>
          <w:lang w:val="hr-HR"/>
        </w:rPr>
        <w:t xml:space="preserve"> bilans za 201</w:t>
      </w:r>
      <w:r w:rsidR="00777CAC">
        <w:rPr>
          <w:sz w:val="24"/>
          <w:lang w:val="hr-HR"/>
        </w:rPr>
        <w:t>9</w:t>
      </w:r>
      <w:r>
        <w:rPr>
          <w:sz w:val="24"/>
          <w:lang w:val="hr-HR"/>
        </w:rPr>
        <w:t xml:space="preserve">.  je </w:t>
      </w:r>
      <w:r w:rsidR="00777CAC">
        <w:rPr>
          <w:sz w:val="24"/>
          <w:lang w:val="hr-HR"/>
        </w:rPr>
        <w:t>pozitivan</w:t>
      </w:r>
      <w:r>
        <w:rPr>
          <w:sz w:val="24"/>
          <w:lang w:val="hr-HR"/>
        </w:rPr>
        <w:t xml:space="preserve">  ( </w:t>
      </w:r>
      <w:r w:rsidR="00777CAC">
        <w:rPr>
          <w:sz w:val="24"/>
          <w:lang w:val="hr-HR"/>
        </w:rPr>
        <w:t>suficit</w:t>
      </w:r>
      <w:r>
        <w:rPr>
          <w:sz w:val="24"/>
          <w:lang w:val="hr-HR"/>
        </w:rPr>
        <w:t>) i iznosi -</w:t>
      </w:r>
      <w:r w:rsidR="00777CAC">
        <w:rPr>
          <w:sz w:val="24"/>
          <w:lang w:val="hr-HR"/>
        </w:rPr>
        <w:t>12,6</w:t>
      </w:r>
      <w:r>
        <w:rPr>
          <w:sz w:val="24"/>
          <w:lang w:val="hr-HR"/>
        </w:rPr>
        <w:t xml:space="preserve"> mil KM. On je rezultat </w:t>
      </w:r>
      <w:r w:rsidR="00777CAC">
        <w:rPr>
          <w:sz w:val="24"/>
          <w:lang w:val="hr-HR"/>
        </w:rPr>
        <w:t>više</w:t>
      </w:r>
      <w:r>
        <w:rPr>
          <w:sz w:val="24"/>
          <w:lang w:val="hr-HR"/>
        </w:rPr>
        <w:t xml:space="preserve"> ostvarenih prihoda od rashoda za tekuću godinu. U 20</w:t>
      </w:r>
      <w:r w:rsidR="00777CAC">
        <w:rPr>
          <w:sz w:val="24"/>
          <w:lang w:val="hr-HR"/>
        </w:rPr>
        <w:t>20</w:t>
      </w:r>
      <w:r>
        <w:rPr>
          <w:sz w:val="24"/>
          <w:lang w:val="hr-HR"/>
        </w:rPr>
        <w:t>. godini</w:t>
      </w:r>
      <w:r w:rsidR="00777CAC">
        <w:rPr>
          <w:sz w:val="24"/>
          <w:lang w:val="hr-HR"/>
        </w:rPr>
        <w:t xml:space="preserve"> planiran je ukupni def</w:t>
      </w:r>
      <w:r>
        <w:rPr>
          <w:sz w:val="24"/>
          <w:lang w:val="hr-HR"/>
        </w:rPr>
        <w:t>i</w:t>
      </w:r>
      <w:r w:rsidR="00777CAC">
        <w:rPr>
          <w:sz w:val="24"/>
          <w:lang w:val="hr-HR"/>
        </w:rPr>
        <w:t>c</w:t>
      </w:r>
      <w:r>
        <w:rPr>
          <w:sz w:val="24"/>
          <w:lang w:val="hr-HR"/>
        </w:rPr>
        <w:t xml:space="preserve">t </w:t>
      </w:r>
      <w:r w:rsidR="00777CAC">
        <w:rPr>
          <w:sz w:val="24"/>
          <w:lang w:val="hr-HR"/>
        </w:rPr>
        <w:t>u iznosu od13,62</w:t>
      </w:r>
      <w:r>
        <w:rPr>
          <w:sz w:val="24"/>
          <w:lang w:val="hr-HR"/>
        </w:rPr>
        <w:t xml:space="preserve"> mil KM, u 20</w:t>
      </w:r>
      <w:r w:rsidR="00777CAC">
        <w:rPr>
          <w:sz w:val="24"/>
          <w:lang w:val="hr-HR"/>
        </w:rPr>
        <w:t>21</w:t>
      </w:r>
      <w:r>
        <w:rPr>
          <w:sz w:val="24"/>
          <w:lang w:val="hr-HR"/>
        </w:rPr>
        <w:t>.</w:t>
      </w:r>
      <w:r w:rsidR="00777CAC">
        <w:rPr>
          <w:sz w:val="24"/>
          <w:lang w:val="hr-HR"/>
        </w:rPr>
        <w:t xml:space="preserve"> </w:t>
      </w:r>
      <w:r>
        <w:rPr>
          <w:sz w:val="24"/>
          <w:lang w:val="hr-HR"/>
        </w:rPr>
        <w:t xml:space="preserve">godini deficit  iznosi </w:t>
      </w:r>
      <w:r w:rsidR="00777CAC">
        <w:rPr>
          <w:sz w:val="24"/>
          <w:lang w:val="hr-HR"/>
        </w:rPr>
        <w:t>22,9</w:t>
      </w:r>
      <w:r>
        <w:rPr>
          <w:sz w:val="24"/>
          <w:lang w:val="hr-HR"/>
        </w:rPr>
        <w:t xml:space="preserve"> mil.</w:t>
      </w:r>
      <w:r w:rsidR="00777CAC">
        <w:rPr>
          <w:sz w:val="24"/>
          <w:lang w:val="hr-HR"/>
        </w:rPr>
        <w:t xml:space="preserve"> </w:t>
      </w:r>
      <w:r>
        <w:rPr>
          <w:sz w:val="24"/>
          <w:lang w:val="hr-HR"/>
        </w:rPr>
        <w:t>KM</w:t>
      </w:r>
      <w:r w:rsidR="00777CAC">
        <w:rPr>
          <w:sz w:val="24"/>
          <w:lang w:val="hr-HR"/>
        </w:rPr>
        <w:t>, ukoliko ne dođe do konsolidacije privreda na globalnom nivou. Z</w:t>
      </w:r>
      <w:r>
        <w:rPr>
          <w:sz w:val="24"/>
          <w:lang w:val="hr-HR"/>
        </w:rPr>
        <w:t>a naredni srednjoročni period (202</w:t>
      </w:r>
      <w:r w:rsidR="00777CAC">
        <w:rPr>
          <w:sz w:val="24"/>
          <w:lang w:val="hr-HR"/>
        </w:rPr>
        <w:t>2</w:t>
      </w:r>
      <w:r>
        <w:rPr>
          <w:sz w:val="24"/>
          <w:lang w:val="hr-HR"/>
        </w:rPr>
        <w:t>.-202</w:t>
      </w:r>
      <w:r w:rsidR="00777CAC">
        <w:rPr>
          <w:sz w:val="24"/>
          <w:lang w:val="hr-HR"/>
        </w:rPr>
        <w:t>3</w:t>
      </w:r>
      <w:r>
        <w:rPr>
          <w:sz w:val="24"/>
          <w:lang w:val="hr-HR"/>
        </w:rPr>
        <w:t xml:space="preserve">. ) projicira </w:t>
      </w:r>
      <w:r w:rsidR="00777CAC">
        <w:rPr>
          <w:sz w:val="24"/>
          <w:lang w:val="hr-HR"/>
        </w:rPr>
        <w:t>također deficit</w:t>
      </w:r>
      <w:r>
        <w:rPr>
          <w:sz w:val="24"/>
          <w:lang w:val="hr-HR"/>
        </w:rPr>
        <w:t xml:space="preserve"> u iznosima od </w:t>
      </w:r>
      <w:r w:rsidR="00777CAC">
        <w:rPr>
          <w:sz w:val="24"/>
          <w:lang w:val="hr-HR"/>
        </w:rPr>
        <w:t>35,95</w:t>
      </w:r>
      <w:r>
        <w:rPr>
          <w:sz w:val="24"/>
          <w:lang w:val="hr-HR"/>
        </w:rPr>
        <w:t xml:space="preserve"> mil. KM, </w:t>
      </w:r>
      <w:r w:rsidR="00777CAC">
        <w:rPr>
          <w:sz w:val="24"/>
          <w:lang w:val="hr-HR"/>
        </w:rPr>
        <w:t>42,33</w:t>
      </w:r>
      <w:r>
        <w:rPr>
          <w:sz w:val="24"/>
          <w:lang w:val="hr-HR"/>
        </w:rPr>
        <w:t xml:space="preserve"> mil.KM</w:t>
      </w:r>
      <w:r w:rsidR="007E40D9">
        <w:rPr>
          <w:sz w:val="24"/>
          <w:lang w:val="hr-HR"/>
        </w:rPr>
        <w:t xml:space="preserve"> r</w:t>
      </w:r>
      <w:r>
        <w:rPr>
          <w:sz w:val="24"/>
          <w:lang w:val="hr-HR"/>
        </w:rPr>
        <w:t>etrospektivno,</w:t>
      </w:r>
      <w:r w:rsidR="007E40D9">
        <w:rPr>
          <w:sz w:val="24"/>
          <w:lang w:val="hr-HR"/>
        </w:rPr>
        <w:t xml:space="preserve"> </w:t>
      </w:r>
      <w:r>
        <w:rPr>
          <w:sz w:val="24"/>
          <w:lang w:val="hr-HR"/>
        </w:rPr>
        <w:t xml:space="preserve">sa pretpostavskom ostvarenja projiciranih prihoda i rashoda. Postizanje  programirane visine rashoda za naredni srednjoročni period nameće se kao imperativ pred Vladu Kantona, jer zakon o budžetima ne dozvoljava da se planiraju obaveze koje se ne mogu prihodima pokriti. </w:t>
      </w:r>
    </w:p>
    <w:p w:rsidR="009F39A9" w:rsidRDefault="009F39A9" w:rsidP="009F39A9">
      <w:pPr>
        <w:jc w:val="both"/>
        <w:rPr>
          <w:sz w:val="24"/>
          <w:lang w:val="hr-HR"/>
        </w:rPr>
      </w:pPr>
    </w:p>
    <w:p w:rsidR="00B649C5" w:rsidRPr="009F3FA7" w:rsidRDefault="00B649C5" w:rsidP="00066B96">
      <w:pPr>
        <w:jc w:val="both"/>
        <w:rPr>
          <w:sz w:val="24"/>
          <w:lang w:val="hr-HR"/>
        </w:rPr>
      </w:pPr>
    </w:p>
    <w:p w:rsidR="00E57AD0" w:rsidRDefault="00E57AD0" w:rsidP="00066B96">
      <w:pPr>
        <w:jc w:val="both"/>
        <w:rPr>
          <w:sz w:val="24"/>
          <w:lang w:val="hr-HR"/>
        </w:rPr>
      </w:pPr>
    </w:p>
    <w:p w:rsidR="001D3F67" w:rsidRDefault="001D3F67" w:rsidP="00066B96">
      <w:pPr>
        <w:jc w:val="both"/>
        <w:rPr>
          <w:sz w:val="24"/>
          <w:lang w:val="hr-HR"/>
        </w:rPr>
      </w:pPr>
    </w:p>
    <w:p w:rsidR="001D3F67" w:rsidRDefault="001D3F67" w:rsidP="00066B96">
      <w:pPr>
        <w:jc w:val="both"/>
        <w:rPr>
          <w:sz w:val="24"/>
          <w:lang w:val="hr-HR"/>
        </w:rPr>
      </w:pPr>
    </w:p>
    <w:p w:rsidR="001D3F67" w:rsidRDefault="001D3F67" w:rsidP="00066B96">
      <w:pPr>
        <w:jc w:val="both"/>
        <w:rPr>
          <w:sz w:val="24"/>
          <w:lang w:val="hr-HR"/>
        </w:rPr>
      </w:pPr>
    </w:p>
    <w:p w:rsidR="00290428" w:rsidRDefault="00ED5C99" w:rsidP="00ED5C99">
      <w:pPr>
        <w:pStyle w:val="Heading1"/>
        <w:numPr>
          <w:ilvl w:val="1"/>
          <w:numId w:val="19"/>
        </w:numPr>
        <w:rPr>
          <w:rFonts w:ascii="Times New Roman" w:hAnsi="Times New Roman" w:cs="Times New Roman"/>
          <w:sz w:val="24"/>
          <w:szCs w:val="24"/>
          <w:lang w:val="hr-HR"/>
        </w:rPr>
      </w:pPr>
      <w:bookmarkStart w:id="86" w:name="_Toc422899938"/>
      <w:r>
        <w:rPr>
          <w:rFonts w:ascii="Times New Roman" w:hAnsi="Times New Roman" w:cs="Times New Roman"/>
          <w:sz w:val="24"/>
          <w:szCs w:val="24"/>
          <w:lang w:val="hr-HR"/>
        </w:rPr>
        <w:t xml:space="preserve"> </w:t>
      </w:r>
      <w:r w:rsidR="00290428" w:rsidRPr="00B649C5">
        <w:rPr>
          <w:rFonts w:ascii="Times New Roman" w:hAnsi="Times New Roman" w:cs="Times New Roman"/>
          <w:sz w:val="24"/>
          <w:szCs w:val="24"/>
          <w:lang w:val="hr-HR"/>
        </w:rPr>
        <w:t>B</w:t>
      </w:r>
      <w:r w:rsidR="00B649C5" w:rsidRPr="00B649C5">
        <w:rPr>
          <w:rFonts w:ascii="Times New Roman" w:hAnsi="Times New Roman" w:cs="Times New Roman"/>
          <w:sz w:val="24"/>
          <w:szCs w:val="24"/>
          <w:lang w:val="hr-HR"/>
        </w:rPr>
        <w:t xml:space="preserve">udžetski  prioriteti za period </w:t>
      </w:r>
      <w:r w:rsidR="00F41A93" w:rsidRPr="00B649C5">
        <w:rPr>
          <w:rFonts w:ascii="Times New Roman" w:hAnsi="Times New Roman" w:cs="Times New Roman"/>
          <w:sz w:val="24"/>
          <w:szCs w:val="24"/>
          <w:lang w:val="hr-HR"/>
        </w:rPr>
        <w:t>20</w:t>
      </w:r>
      <w:r w:rsidR="00B649C5" w:rsidRPr="00B649C5">
        <w:rPr>
          <w:rFonts w:ascii="Times New Roman" w:hAnsi="Times New Roman" w:cs="Times New Roman"/>
          <w:sz w:val="24"/>
          <w:szCs w:val="24"/>
          <w:lang w:val="hr-HR"/>
        </w:rPr>
        <w:t>2</w:t>
      </w:r>
      <w:r w:rsidR="00155203">
        <w:rPr>
          <w:rFonts w:ascii="Times New Roman" w:hAnsi="Times New Roman" w:cs="Times New Roman"/>
          <w:sz w:val="24"/>
          <w:szCs w:val="24"/>
          <w:lang w:val="hr-HR"/>
        </w:rPr>
        <w:t>1</w:t>
      </w:r>
      <w:r w:rsidR="00F87F66" w:rsidRPr="00B649C5">
        <w:rPr>
          <w:rFonts w:ascii="Times New Roman" w:hAnsi="Times New Roman" w:cs="Times New Roman"/>
          <w:sz w:val="24"/>
          <w:szCs w:val="24"/>
          <w:lang w:val="hr-HR"/>
        </w:rPr>
        <w:t>.</w:t>
      </w:r>
      <w:r w:rsidR="00F41A93" w:rsidRPr="00B649C5">
        <w:rPr>
          <w:rFonts w:ascii="Times New Roman" w:hAnsi="Times New Roman" w:cs="Times New Roman"/>
          <w:sz w:val="24"/>
          <w:szCs w:val="24"/>
          <w:lang w:val="hr-HR"/>
        </w:rPr>
        <w:t xml:space="preserve"> </w:t>
      </w:r>
      <w:r w:rsidR="00995C59">
        <w:rPr>
          <w:rFonts w:ascii="Times New Roman" w:hAnsi="Times New Roman" w:cs="Times New Roman"/>
          <w:sz w:val="24"/>
          <w:szCs w:val="24"/>
          <w:lang w:val="hr-HR"/>
        </w:rPr>
        <w:t>-</w:t>
      </w:r>
      <w:r w:rsidR="00F41A93" w:rsidRPr="00B649C5">
        <w:rPr>
          <w:rFonts w:ascii="Times New Roman" w:hAnsi="Times New Roman" w:cs="Times New Roman"/>
          <w:sz w:val="24"/>
          <w:szCs w:val="24"/>
          <w:lang w:val="hr-HR"/>
        </w:rPr>
        <w:t xml:space="preserve"> 20</w:t>
      </w:r>
      <w:r w:rsidR="00B649C5" w:rsidRPr="00B649C5">
        <w:rPr>
          <w:rFonts w:ascii="Times New Roman" w:hAnsi="Times New Roman" w:cs="Times New Roman"/>
          <w:sz w:val="24"/>
          <w:szCs w:val="24"/>
          <w:lang w:val="hr-HR"/>
        </w:rPr>
        <w:t>2</w:t>
      </w:r>
      <w:r w:rsidR="00155203">
        <w:rPr>
          <w:rFonts w:ascii="Times New Roman" w:hAnsi="Times New Roman" w:cs="Times New Roman"/>
          <w:sz w:val="24"/>
          <w:szCs w:val="24"/>
          <w:lang w:val="hr-HR"/>
        </w:rPr>
        <w:t>3</w:t>
      </w:r>
      <w:r w:rsidR="00F87F66" w:rsidRPr="00B649C5">
        <w:rPr>
          <w:rFonts w:ascii="Times New Roman" w:hAnsi="Times New Roman" w:cs="Times New Roman"/>
          <w:sz w:val="24"/>
          <w:szCs w:val="24"/>
          <w:lang w:val="hr-HR"/>
        </w:rPr>
        <w:t>.</w:t>
      </w:r>
      <w:r w:rsidR="00290428" w:rsidRPr="00B649C5">
        <w:rPr>
          <w:rFonts w:ascii="Times New Roman" w:hAnsi="Times New Roman" w:cs="Times New Roman"/>
          <w:sz w:val="24"/>
          <w:szCs w:val="24"/>
          <w:lang w:val="hr-HR"/>
        </w:rPr>
        <w:t xml:space="preserve"> </w:t>
      </w:r>
      <w:r w:rsidR="00B649C5" w:rsidRPr="00B649C5">
        <w:rPr>
          <w:rFonts w:ascii="Times New Roman" w:hAnsi="Times New Roman" w:cs="Times New Roman"/>
          <w:sz w:val="24"/>
          <w:szCs w:val="24"/>
          <w:lang w:val="hr-HR"/>
        </w:rPr>
        <w:t>godina</w:t>
      </w:r>
      <w:bookmarkEnd w:id="84"/>
      <w:bookmarkEnd w:id="85"/>
      <w:bookmarkEnd w:id="86"/>
    </w:p>
    <w:p w:rsidR="00B649C5" w:rsidRDefault="00B649C5" w:rsidP="00B649C5">
      <w:pPr>
        <w:ind w:left="360"/>
        <w:rPr>
          <w:lang w:val="hr-HR"/>
        </w:rPr>
      </w:pPr>
    </w:p>
    <w:p w:rsidR="00B649C5" w:rsidRDefault="00B649C5" w:rsidP="00B649C5">
      <w:pPr>
        <w:jc w:val="both"/>
        <w:rPr>
          <w:sz w:val="24"/>
          <w:szCs w:val="24"/>
          <w:lang w:val="hr-HR"/>
        </w:rPr>
      </w:pPr>
      <w:r>
        <w:rPr>
          <w:sz w:val="24"/>
          <w:szCs w:val="24"/>
          <w:lang w:val="hr-HR"/>
        </w:rPr>
        <w:t xml:space="preserve">         U ovom poglavlju Ministarstvo finansija daje preporuke budžetskim korisnicima o srednjoročnim budžetskim prioritetima i početnim budžetskim plafonima za 20</w:t>
      </w:r>
      <w:r w:rsidR="007B4781">
        <w:rPr>
          <w:sz w:val="24"/>
          <w:szCs w:val="24"/>
          <w:lang w:val="hr-HR"/>
        </w:rPr>
        <w:t>2</w:t>
      </w:r>
      <w:r w:rsidR="00155203">
        <w:rPr>
          <w:sz w:val="24"/>
          <w:szCs w:val="24"/>
          <w:lang w:val="hr-HR"/>
        </w:rPr>
        <w:t>1</w:t>
      </w:r>
      <w:r>
        <w:rPr>
          <w:sz w:val="24"/>
          <w:szCs w:val="24"/>
          <w:lang w:val="hr-HR"/>
        </w:rPr>
        <w:t>. godinu.</w:t>
      </w:r>
    </w:p>
    <w:p w:rsidR="00B649C5" w:rsidRDefault="00B649C5" w:rsidP="00B649C5">
      <w:pPr>
        <w:jc w:val="both"/>
        <w:rPr>
          <w:sz w:val="24"/>
          <w:szCs w:val="24"/>
          <w:lang w:val="hr-HR"/>
        </w:rPr>
      </w:pPr>
      <w:r>
        <w:rPr>
          <w:sz w:val="24"/>
          <w:szCs w:val="24"/>
          <w:lang w:val="hr-HR"/>
        </w:rPr>
        <w:t xml:space="preserve">         Budžetski korisnici su imajući u vidu prioritete izložene u Srednjoročnoj razvojnoj strategiji i ostalim dokumentima značajnim za  programsko planiranje budžeta, uradili projekciju svog budžeta za narednu fiskalnu godinu i još dvije.</w:t>
      </w:r>
    </w:p>
    <w:p w:rsidR="00B649C5" w:rsidRDefault="00B649C5" w:rsidP="00B649C5">
      <w:pPr>
        <w:jc w:val="both"/>
        <w:rPr>
          <w:sz w:val="24"/>
          <w:szCs w:val="24"/>
          <w:lang w:val="hr-HR"/>
        </w:rPr>
      </w:pPr>
      <w:r>
        <w:rPr>
          <w:sz w:val="24"/>
          <w:szCs w:val="24"/>
          <w:lang w:val="hr-HR"/>
        </w:rPr>
        <w:t xml:space="preserve">         Tokom aprila, svi budžetski korisnici Unsko – sanskog kantona su imali obavezu pripremiti i dostaviti Ministarstvu finansija svoje Tabele pregleda prioriteta budžetskih korisnika. Cilj ovih tabela je da budžetskim korisnicima pruže mogućnost da doprinesu  izradi Dokumenta okvirnog budžeta  za period  202</w:t>
      </w:r>
      <w:r w:rsidR="00155203">
        <w:rPr>
          <w:sz w:val="24"/>
          <w:szCs w:val="24"/>
          <w:lang w:val="hr-HR"/>
        </w:rPr>
        <w:t>1</w:t>
      </w:r>
      <w:r>
        <w:rPr>
          <w:sz w:val="24"/>
          <w:szCs w:val="24"/>
          <w:lang w:val="hr-HR"/>
        </w:rPr>
        <w:t>.-202</w:t>
      </w:r>
      <w:r w:rsidR="00155203">
        <w:rPr>
          <w:sz w:val="24"/>
          <w:szCs w:val="24"/>
          <w:lang w:val="hr-HR"/>
        </w:rPr>
        <w:t>3</w:t>
      </w:r>
      <w:r>
        <w:rPr>
          <w:sz w:val="24"/>
          <w:szCs w:val="24"/>
          <w:lang w:val="hr-HR"/>
        </w:rPr>
        <w:t>. tako što će odrediti svoje ključne prioritete za raspodjelu budžeta za 202</w:t>
      </w:r>
      <w:r w:rsidR="00155203">
        <w:rPr>
          <w:sz w:val="24"/>
          <w:szCs w:val="24"/>
          <w:lang w:val="hr-HR"/>
        </w:rPr>
        <w:t>1</w:t>
      </w:r>
      <w:r w:rsidR="00134F74">
        <w:rPr>
          <w:sz w:val="24"/>
          <w:szCs w:val="24"/>
          <w:lang w:val="hr-HR"/>
        </w:rPr>
        <w:t>.</w:t>
      </w:r>
      <w:r w:rsidR="00155203">
        <w:rPr>
          <w:sz w:val="24"/>
          <w:szCs w:val="24"/>
          <w:lang w:val="hr-HR"/>
        </w:rPr>
        <w:t xml:space="preserve"> </w:t>
      </w:r>
      <w:r>
        <w:rPr>
          <w:sz w:val="24"/>
          <w:szCs w:val="24"/>
          <w:lang w:val="hr-HR"/>
        </w:rPr>
        <w:t>godinu i za naredne dvije godine, u skladu sa ciljevima ekonomskih i društvenih politika.</w:t>
      </w:r>
    </w:p>
    <w:p w:rsidR="00B649C5" w:rsidRDefault="00B649C5" w:rsidP="00B649C5">
      <w:pPr>
        <w:jc w:val="both"/>
        <w:rPr>
          <w:sz w:val="24"/>
          <w:szCs w:val="24"/>
          <w:lang w:val="hr-HR"/>
        </w:rPr>
      </w:pPr>
      <w:r>
        <w:rPr>
          <w:sz w:val="24"/>
          <w:szCs w:val="24"/>
          <w:lang w:val="hr-HR"/>
        </w:rPr>
        <w:t xml:space="preserve">       Od budžetskih korisnika se traži da utvrde svoje prijedloge visoko – prioritetne potrošnje ( za postojeće i nove programe uključujući i incijative iz Programa javnih ulaganja), kao i moguće uštede smanjenja za programe nižeg prioriteta ili one koji ne daju adekvatne rezultate, kako bi se ti resursi preusmjerili na druge projekte višeg prioriteta.</w:t>
      </w:r>
    </w:p>
    <w:p w:rsidR="00B649C5" w:rsidRDefault="00B649C5" w:rsidP="00B649C5">
      <w:pPr>
        <w:jc w:val="both"/>
        <w:rPr>
          <w:sz w:val="24"/>
          <w:szCs w:val="24"/>
          <w:lang w:val="hr-HR"/>
        </w:rPr>
      </w:pPr>
    </w:p>
    <w:p w:rsidR="00B649C5" w:rsidRPr="00342D1A" w:rsidRDefault="00B649C5" w:rsidP="00B649C5">
      <w:pPr>
        <w:jc w:val="both"/>
        <w:rPr>
          <w:sz w:val="24"/>
          <w:szCs w:val="24"/>
          <w:lang w:val="hr-BA"/>
        </w:rPr>
      </w:pPr>
      <w:r>
        <w:rPr>
          <w:sz w:val="24"/>
          <w:szCs w:val="24"/>
          <w:lang w:val="hr-HR"/>
        </w:rPr>
        <w:t xml:space="preserve">        Upute za izradu Tabela pregleda prioriteta budžetskih korisnika su dostavljene na adrese  budžetskih korisnika, od kojih je većina u traženom roku dostavila popunjene tabele.</w:t>
      </w:r>
      <w:r w:rsidRPr="00342D1A">
        <w:rPr>
          <w:sz w:val="24"/>
          <w:szCs w:val="24"/>
          <w:lang w:val="hr-BA"/>
        </w:rPr>
        <w:t>Tabel</w:t>
      </w:r>
      <w:r>
        <w:rPr>
          <w:sz w:val="24"/>
          <w:szCs w:val="24"/>
          <w:lang w:val="hr-BA"/>
        </w:rPr>
        <w:t>e</w:t>
      </w:r>
      <w:r w:rsidRPr="00342D1A">
        <w:rPr>
          <w:sz w:val="24"/>
          <w:szCs w:val="24"/>
          <w:lang w:val="hr-BA"/>
        </w:rPr>
        <w:t xml:space="preserve"> pregleda prioriteta uključuju zahtjeve kako za tekućom tako i kapitalnom potrošnjom.</w:t>
      </w:r>
      <w:r>
        <w:rPr>
          <w:sz w:val="24"/>
          <w:szCs w:val="24"/>
          <w:lang w:val="hr-BA"/>
        </w:rPr>
        <w:t xml:space="preserve"> </w:t>
      </w:r>
      <w:r w:rsidRPr="00342D1A">
        <w:rPr>
          <w:sz w:val="24"/>
          <w:szCs w:val="24"/>
          <w:lang w:val="hr-BA"/>
        </w:rPr>
        <w:t>Zahtjevi za kapitalnom potrošnjom odražavaju zahtjeve za kapitalnim sr</w:t>
      </w:r>
      <w:r>
        <w:rPr>
          <w:sz w:val="24"/>
          <w:szCs w:val="24"/>
          <w:lang w:val="hr-BA"/>
        </w:rPr>
        <w:t>e</w:t>
      </w:r>
      <w:r w:rsidRPr="00342D1A">
        <w:rPr>
          <w:sz w:val="24"/>
          <w:szCs w:val="24"/>
          <w:lang w:val="hr-BA"/>
        </w:rPr>
        <w:t>dstvima finansiranim iz domaćih izvora i od strane donatora</w:t>
      </w:r>
      <w:r>
        <w:rPr>
          <w:sz w:val="24"/>
          <w:szCs w:val="24"/>
          <w:lang w:val="hr-BA"/>
        </w:rPr>
        <w:t>.</w:t>
      </w:r>
      <w:r w:rsidRPr="00342D1A">
        <w:rPr>
          <w:sz w:val="24"/>
          <w:szCs w:val="24"/>
          <w:lang w:val="hr-BA"/>
        </w:rPr>
        <w:t xml:space="preserve"> </w:t>
      </w:r>
    </w:p>
    <w:p w:rsidR="00B649C5" w:rsidRDefault="00B649C5" w:rsidP="00B649C5">
      <w:pPr>
        <w:jc w:val="both"/>
        <w:rPr>
          <w:sz w:val="24"/>
          <w:szCs w:val="24"/>
          <w:lang w:val="hr-HR"/>
        </w:rPr>
      </w:pPr>
      <w:r>
        <w:rPr>
          <w:sz w:val="24"/>
          <w:szCs w:val="24"/>
          <w:lang w:val="hr-HR"/>
        </w:rPr>
        <w:t xml:space="preserve">           </w:t>
      </w:r>
      <w:r w:rsidRPr="00342D1A">
        <w:rPr>
          <w:sz w:val="24"/>
          <w:szCs w:val="24"/>
          <w:lang w:val="hr-HR"/>
        </w:rPr>
        <w:t>Ministarstvo finansija je uradilo pregled rashoda – potrošnje budžetskih korisnika</w:t>
      </w:r>
      <w:r>
        <w:rPr>
          <w:sz w:val="24"/>
          <w:szCs w:val="24"/>
          <w:lang w:val="hr-HR"/>
        </w:rPr>
        <w:t xml:space="preserve"> po funkcionalnoj klasifikaciji (COFOG), po kojoj se iskazuju rashodi po funkcionalnoj namjeni za određenu oblast i nezavisna je od organizacije koja tu funkciju provodi. Ova klasifikacija je u primjeni od 01.01.2015. godine. </w:t>
      </w:r>
    </w:p>
    <w:p w:rsidR="008E10B8" w:rsidRDefault="008E10B8" w:rsidP="00345587">
      <w:pPr>
        <w:jc w:val="both"/>
        <w:rPr>
          <w:b/>
          <w:sz w:val="20"/>
          <w:lang w:val="hr-HR"/>
        </w:rPr>
      </w:pPr>
    </w:p>
    <w:p w:rsidR="0044702C" w:rsidRDefault="0044702C" w:rsidP="00345587">
      <w:pPr>
        <w:jc w:val="both"/>
        <w:rPr>
          <w:b/>
          <w:sz w:val="20"/>
          <w:lang w:val="hr-HR"/>
        </w:rPr>
      </w:pPr>
      <w:r w:rsidRPr="006519DE">
        <w:rPr>
          <w:b/>
          <w:sz w:val="20"/>
          <w:lang w:val="hr-HR"/>
        </w:rPr>
        <w:t xml:space="preserve">Tabela 4.1.  Rashodi ( potrošnja) budžetskih korisnika po funkcijama za period </w:t>
      </w:r>
      <w:r w:rsidR="008E10B8">
        <w:rPr>
          <w:b/>
          <w:sz w:val="20"/>
          <w:lang w:val="hr-HR"/>
        </w:rPr>
        <w:t>20</w:t>
      </w:r>
      <w:r w:rsidR="00CD6BAD">
        <w:rPr>
          <w:b/>
          <w:sz w:val="20"/>
          <w:lang w:val="hr-HR"/>
        </w:rPr>
        <w:t>20</w:t>
      </w:r>
      <w:r w:rsidRPr="006519DE">
        <w:rPr>
          <w:b/>
          <w:sz w:val="20"/>
          <w:lang w:val="hr-HR"/>
        </w:rPr>
        <w:t xml:space="preserve">. </w:t>
      </w:r>
      <w:r w:rsidR="008E10B8">
        <w:rPr>
          <w:b/>
          <w:sz w:val="20"/>
          <w:lang w:val="hr-HR"/>
        </w:rPr>
        <w:t>-</w:t>
      </w:r>
      <w:r w:rsidRPr="006519DE">
        <w:rPr>
          <w:b/>
          <w:sz w:val="20"/>
          <w:lang w:val="hr-HR"/>
        </w:rPr>
        <w:t xml:space="preserve"> 20</w:t>
      </w:r>
      <w:r w:rsidR="008E10B8">
        <w:rPr>
          <w:b/>
          <w:sz w:val="20"/>
          <w:lang w:val="hr-HR"/>
        </w:rPr>
        <w:t>2</w:t>
      </w:r>
      <w:r w:rsidR="00CD6BAD">
        <w:rPr>
          <w:b/>
          <w:sz w:val="20"/>
          <w:lang w:val="hr-HR"/>
        </w:rPr>
        <w:t>1</w:t>
      </w:r>
      <w:r w:rsidRPr="006519DE">
        <w:rPr>
          <w:b/>
          <w:sz w:val="20"/>
          <w:lang w:val="hr-HR"/>
        </w:rPr>
        <w:t xml:space="preserve">. </w:t>
      </w:r>
      <w:r w:rsidR="008E10B8">
        <w:rPr>
          <w:b/>
          <w:sz w:val="20"/>
          <w:lang w:val="hr-HR"/>
        </w:rPr>
        <w:t>g</w:t>
      </w:r>
      <w:r w:rsidRPr="006519DE">
        <w:rPr>
          <w:b/>
          <w:sz w:val="20"/>
          <w:lang w:val="hr-HR"/>
        </w:rPr>
        <w:t>odina</w:t>
      </w:r>
    </w:p>
    <w:tbl>
      <w:tblPr>
        <w:tblW w:w="10360" w:type="dxa"/>
        <w:tblInd w:w="118" w:type="dxa"/>
        <w:tblLook w:val="04A0"/>
      </w:tblPr>
      <w:tblGrid>
        <w:gridCol w:w="590"/>
        <w:gridCol w:w="629"/>
        <w:gridCol w:w="870"/>
        <w:gridCol w:w="4076"/>
        <w:gridCol w:w="1273"/>
        <w:gridCol w:w="1273"/>
        <w:gridCol w:w="854"/>
        <w:gridCol w:w="795"/>
      </w:tblGrid>
      <w:tr w:rsidR="00CD6BAD" w:rsidRPr="00CD6BAD" w:rsidTr="00CD6BAD">
        <w:trPr>
          <w:trHeight w:val="300"/>
        </w:trPr>
        <w:tc>
          <w:tcPr>
            <w:tcW w:w="580" w:type="dxa"/>
            <w:tcBorders>
              <w:top w:val="single" w:sz="8" w:space="0" w:color="000000"/>
              <w:left w:val="single" w:sz="8" w:space="0" w:color="000000"/>
              <w:bottom w:val="nil"/>
              <w:right w:val="single" w:sz="4" w:space="0" w:color="000000"/>
            </w:tcBorders>
            <w:shd w:val="clear" w:color="auto" w:fill="auto"/>
            <w:textDirection w:val="btLr"/>
            <w:vAlign w:val="center"/>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 </w:t>
            </w:r>
          </w:p>
        </w:tc>
        <w:tc>
          <w:tcPr>
            <w:tcW w:w="580" w:type="dxa"/>
            <w:tcBorders>
              <w:top w:val="single" w:sz="8" w:space="0" w:color="000000"/>
              <w:left w:val="nil"/>
              <w:bottom w:val="nil"/>
              <w:right w:val="single" w:sz="4" w:space="0" w:color="000000"/>
            </w:tcBorders>
            <w:shd w:val="clear" w:color="auto" w:fill="auto"/>
            <w:textDirection w:val="btLr"/>
            <w:vAlign w:val="center"/>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 </w:t>
            </w:r>
          </w:p>
        </w:tc>
        <w:tc>
          <w:tcPr>
            <w:tcW w:w="820" w:type="dxa"/>
            <w:tcBorders>
              <w:top w:val="single" w:sz="8" w:space="0" w:color="000000"/>
              <w:left w:val="nil"/>
              <w:bottom w:val="nil"/>
              <w:right w:val="single" w:sz="4" w:space="0" w:color="000000"/>
            </w:tcBorders>
            <w:shd w:val="clear" w:color="auto" w:fill="auto"/>
            <w:textDirection w:val="btLr"/>
            <w:vAlign w:val="center"/>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 </w:t>
            </w:r>
          </w:p>
        </w:tc>
        <w:tc>
          <w:tcPr>
            <w:tcW w:w="4200" w:type="dxa"/>
            <w:tcBorders>
              <w:top w:val="single" w:sz="8" w:space="0" w:color="000000"/>
              <w:left w:val="nil"/>
              <w:bottom w:val="nil"/>
              <w:right w:val="single" w:sz="4" w:space="0" w:color="000000"/>
            </w:tcBorders>
            <w:shd w:val="clear" w:color="auto" w:fill="auto"/>
            <w:vAlign w:val="center"/>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 </w:t>
            </w:r>
          </w:p>
        </w:tc>
        <w:tc>
          <w:tcPr>
            <w:tcW w:w="1280" w:type="dxa"/>
            <w:tcBorders>
              <w:top w:val="single" w:sz="8" w:space="0" w:color="000000"/>
              <w:left w:val="single" w:sz="8" w:space="0" w:color="000000"/>
              <w:bottom w:val="nil"/>
              <w:right w:val="single" w:sz="4" w:space="0" w:color="000000"/>
            </w:tcBorders>
            <w:shd w:val="clear" w:color="auto" w:fill="auto"/>
            <w:vAlign w:val="center"/>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 </w:t>
            </w:r>
          </w:p>
        </w:tc>
        <w:tc>
          <w:tcPr>
            <w:tcW w:w="1280" w:type="dxa"/>
            <w:tcBorders>
              <w:top w:val="single" w:sz="8" w:space="0" w:color="000000"/>
              <w:left w:val="nil"/>
              <w:bottom w:val="nil"/>
              <w:right w:val="nil"/>
            </w:tcBorders>
            <w:shd w:val="clear" w:color="auto" w:fill="auto"/>
            <w:vAlign w:val="center"/>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 </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 </w:t>
            </w:r>
          </w:p>
        </w:tc>
        <w:tc>
          <w:tcPr>
            <w:tcW w:w="760" w:type="dxa"/>
            <w:tcBorders>
              <w:top w:val="single" w:sz="4" w:space="0" w:color="auto"/>
              <w:left w:val="nil"/>
              <w:bottom w:val="single" w:sz="4" w:space="0" w:color="auto"/>
              <w:right w:val="single" w:sz="4" w:space="0" w:color="auto"/>
            </w:tcBorders>
            <w:shd w:val="clear" w:color="auto" w:fill="auto"/>
            <w:noWrap/>
            <w:hideMark/>
          </w:tcPr>
          <w:p w:rsidR="00CD6BAD" w:rsidRPr="00CD6BAD" w:rsidRDefault="00CD6BAD" w:rsidP="00CD6BAD">
            <w:pPr>
              <w:rPr>
                <w:rFonts w:ascii="Arial" w:hAnsi="Arial" w:cs="Arial"/>
                <w:sz w:val="16"/>
                <w:szCs w:val="16"/>
                <w:lang w:val="hr-HR" w:eastAsia="hr-HR"/>
              </w:rPr>
            </w:pPr>
            <w:r w:rsidRPr="00CD6BAD">
              <w:rPr>
                <w:rFonts w:ascii="Arial" w:hAnsi="Arial" w:cs="Arial"/>
                <w:sz w:val="16"/>
                <w:szCs w:val="16"/>
                <w:lang w:val="hr-HR" w:eastAsia="hr-HR"/>
              </w:rPr>
              <w:t> </w:t>
            </w:r>
          </w:p>
        </w:tc>
      </w:tr>
      <w:tr w:rsidR="00CD6BAD" w:rsidRPr="00CD6BAD" w:rsidTr="00CD6BAD">
        <w:trPr>
          <w:trHeight w:val="195"/>
        </w:trPr>
        <w:tc>
          <w:tcPr>
            <w:tcW w:w="580" w:type="dxa"/>
            <w:tcBorders>
              <w:top w:val="nil"/>
              <w:left w:val="single" w:sz="8" w:space="0" w:color="000000"/>
              <w:bottom w:val="single" w:sz="8" w:space="0" w:color="000000"/>
              <w:right w:val="single" w:sz="4" w:space="0" w:color="000000"/>
            </w:tcBorders>
            <w:shd w:val="clear" w:color="auto" w:fill="auto"/>
            <w:vAlign w:val="center"/>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Klasa</w:t>
            </w:r>
          </w:p>
        </w:tc>
        <w:tc>
          <w:tcPr>
            <w:tcW w:w="580" w:type="dxa"/>
            <w:tcBorders>
              <w:top w:val="nil"/>
              <w:left w:val="nil"/>
              <w:bottom w:val="single" w:sz="8" w:space="0" w:color="000000"/>
              <w:right w:val="single" w:sz="4" w:space="0" w:color="000000"/>
            </w:tcBorders>
            <w:shd w:val="clear" w:color="auto" w:fill="auto"/>
            <w:vAlign w:val="center"/>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Grupa</w:t>
            </w:r>
          </w:p>
        </w:tc>
        <w:tc>
          <w:tcPr>
            <w:tcW w:w="820" w:type="dxa"/>
            <w:tcBorders>
              <w:top w:val="nil"/>
              <w:left w:val="nil"/>
              <w:bottom w:val="single" w:sz="8" w:space="0" w:color="000000"/>
              <w:right w:val="single" w:sz="4" w:space="0" w:color="000000"/>
            </w:tcBorders>
            <w:shd w:val="clear" w:color="auto" w:fill="auto"/>
            <w:vAlign w:val="center"/>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Podgrupa</w:t>
            </w:r>
          </w:p>
        </w:tc>
        <w:tc>
          <w:tcPr>
            <w:tcW w:w="4200" w:type="dxa"/>
            <w:tcBorders>
              <w:top w:val="nil"/>
              <w:left w:val="nil"/>
              <w:bottom w:val="single" w:sz="8" w:space="0" w:color="000000"/>
              <w:right w:val="single" w:sz="4" w:space="0" w:color="000000"/>
            </w:tcBorders>
            <w:shd w:val="clear" w:color="auto" w:fill="auto"/>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Naziv</w:t>
            </w:r>
          </w:p>
        </w:tc>
        <w:tc>
          <w:tcPr>
            <w:tcW w:w="1280" w:type="dxa"/>
            <w:tcBorders>
              <w:top w:val="nil"/>
              <w:left w:val="single" w:sz="8" w:space="0" w:color="000000"/>
              <w:bottom w:val="single" w:sz="8" w:space="0" w:color="000000"/>
              <w:right w:val="single" w:sz="4" w:space="0" w:color="000000"/>
            </w:tcBorders>
            <w:shd w:val="clear" w:color="auto" w:fill="auto"/>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Budžet 2020</w:t>
            </w:r>
          </w:p>
        </w:tc>
        <w:tc>
          <w:tcPr>
            <w:tcW w:w="1280" w:type="dxa"/>
            <w:tcBorders>
              <w:top w:val="nil"/>
              <w:left w:val="nil"/>
              <w:bottom w:val="single" w:sz="8" w:space="0" w:color="000000"/>
              <w:right w:val="nil"/>
            </w:tcBorders>
            <w:shd w:val="clear" w:color="auto" w:fill="auto"/>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 xml:space="preserve"> Budžet 2021</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 xml:space="preserve">Učešće </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rPr>
                <w:rFonts w:ascii="Arial" w:hAnsi="Arial" w:cs="Arial"/>
                <w:sz w:val="16"/>
                <w:szCs w:val="16"/>
                <w:lang w:val="hr-HR" w:eastAsia="hr-HR"/>
              </w:rPr>
            </w:pPr>
            <w:r w:rsidRPr="00CD6BAD">
              <w:rPr>
                <w:rFonts w:ascii="Arial" w:hAnsi="Arial" w:cs="Arial"/>
                <w:sz w:val="16"/>
                <w:szCs w:val="16"/>
                <w:lang w:val="hr-HR" w:eastAsia="hr-HR"/>
              </w:rPr>
              <w:t>Index</w:t>
            </w:r>
          </w:p>
        </w:tc>
      </w:tr>
      <w:tr w:rsidR="00CD6BAD" w:rsidRPr="00CD6BAD" w:rsidTr="00CD6BAD">
        <w:trPr>
          <w:trHeight w:val="315"/>
        </w:trPr>
        <w:tc>
          <w:tcPr>
            <w:tcW w:w="580" w:type="dxa"/>
            <w:tcBorders>
              <w:top w:val="single" w:sz="4" w:space="0" w:color="000000"/>
              <w:left w:val="single" w:sz="8" w:space="0" w:color="000000"/>
              <w:bottom w:val="single" w:sz="8" w:space="0" w:color="000000"/>
              <w:right w:val="single" w:sz="4" w:space="0" w:color="000000"/>
            </w:tcBorders>
            <w:shd w:val="clear" w:color="auto" w:fill="auto"/>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1</w:t>
            </w:r>
          </w:p>
        </w:tc>
        <w:tc>
          <w:tcPr>
            <w:tcW w:w="580" w:type="dxa"/>
            <w:tcBorders>
              <w:top w:val="single" w:sz="4" w:space="0" w:color="000000"/>
              <w:left w:val="nil"/>
              <w:bottom w:val="single" w:sz="8" w:space="0" w:color="000000"/>
              <w:right w:val="single" w:sz="4" w:space="0" w:color="000000"/>
            </w:tcBorders>
            <w:shd w:val="clear" w:color="auto" w:fill="auto"/>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2</w:t>
            </w:r>
          </w:p>
        </w:tc>
        <w:tc>
          <w:tcPr>
            <w:tcW w:w="820" w:type="dxa"/>
            <w:tcBorders>
              <w:top w:val="single" w:sz="4" w:space="0" w:color="000000"/>
              <w:left w:val="nil"/>
              <w:bottom w:val="single" w:sz="8" w:space="0" w:color="000000"/>
              <w:right w:val="single" w:sz="4" w:space="0" w:color="000000"/>
            </w:tcBorders>
            <w:shd w:val="clear" w:color="auto" w:fill="auto"/>
            <w:vAlign w:val="center"/>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3</w:t>
            </w:r>
          </w:p>
        </w:tc>
        <w:tc>
          <w:tcPr>
            <w:tcW w:w="4200" w:type="dxa"/>
            <w:tcBorders>
              <w:top w:val="single" w:sz="4" w:space="0" w:color="000000"/>
              <w:left w:val="nil"/>
              <w:bottom w:val="single" w:sz="8" w:space="0" w:color="000000"/>
              <w:right w:val="single" w:sz="4" w:space="0" w:color="000000"/>
            </w:tcBorders>
            <w:shd w:val="clear" w:color="auto" w:fill="auto"/>
            <w:vAlign w:val="center"/>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4</w:t>
            </w:r>
          </w:p>
        </w:tc>
        <w:tc>
          <w:tcPr>
            <w:tcW w:w="1280" w:type="dxa"/>
            <w:tcBorders>
              <w:top w:val="single" w:sz="4" w:space="0" w:color="000000"/>
              <w:left w:val="single" w:sz="8" w:space="0" w:color="000000"/>
              <w:bottom w:val="single" w:sz="8" w:space="0" w:color="000000"/>
              <w:right w:val="single" w:sz="4" w:space="0" w:color="000000"/>
            </w:tcBorders>
            <w:shd w:val="clear" w:color="auto" w:fill="auto"/>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5</w:t>
            </w:r>
          </w:p>
        </w:tc>
        <w:tc>
          <w:tcPr>
            <w:tcW w:w="1280" w:type="dxa"/>
            <w:tcBorders>
              <w:top w:val="single" w:sz="4" w:space="0" w:color="000000"/>
              <w:left w:val="nil"/>
              <w:bottom w:val="single" w:sz="8" w:space="0" w:color="000000"/>
              <w:right w:val="nil"/>
            </w:tcBorders>
            <w:shd w:val="clear" w:color="auto" w:fill="auto"/>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6</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center"/>
              <w:rPr>
                <w:rFonts w:ascii="Arial" w:hAnsi="Arial" w:cs="Arial"/>
                <w:b/>
                <w:bCs/>
                <w:color w:val="000000"/>
                <w:sz w:val="14"/>
                <w:szCs w:val="14"/>
                <w:lang w:val="hr-HR" w:eastAsia="hr-HR"/>
              </w:rPr>
            </w:pPr>
            <w:r w:rsidRPr="00CD6BAD">
              <w:rPr>
                <w:rFonts w:ascii="Arial" w:hAnsi="Arial" w:cs="Arial"/>
                <w:b/>
                <w:bCs/>
                <w:color w:val="000000"/>
                <w:sz w:val="14"/>
                <w:szCs w:val="14"/>
                <w:lang w:val="hr-HR" w:eastAsia="hr-HR"/>
              </w:rPr>
              <w:t>7</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rPr>
                <w:rFonts w:ascii="Arial" w:hAnsi="Arial" w:cs="Arial"/>
                <w:sz w:val="16"/>
                <w:szCs w:val="16"/>
                <w:lang w:val="hr-HR" w:eastAsia="hr-HR"/>
              </w:rPr>
            </w:pPr>
            <w:r w:rsidRPr="00CD6BAD">
              <w:rPr>
                <w:rFonts w:ascii="Arial" w:hAnsi="Arial" w:cs="Arial"/>
                <w:sz w:val="16"/>
                <w:szCs w:val="16"/>
                <w:lang w:val="hr-HR" w:eastAsia="hr-HR"/>
              </w:rPr>
              <w:t>8=6/5</w:t>
            </w:r>
          </w:p>
        </w:tc>
      </w:tr>
      <w:tr w:rsidR="00CD6BAD" w:rsidRPr="00CD6BAD" w:rsidTr="00CD6BAD">
        <w:trPr>
          <w:trHeight w:val="300"/>
        </w:trPr>
        <w:tc>
          <w:tcPr>
            <w:tcW w:w="580" w:type="dxa"/>
            <w:tcBorders>
              <w:top w:val="single" w:sz="4" w:space="0" w:color="000000"/>
              <w:left w:val="single" w:sz="8" w:space="0" w:color="000000"/>
              <w:bottom w:val="single" w:sz="4" w:space="0" w:color="000000"/>
              <w:right w:val="single" w:sz="4" w:space="0" w:color="000000"/>
            </w:tcBorders>
            <w:shd w:val="clear" w:color="D3D3D3" w:fill="D3D3D3"/>
            <w:hideMark/>
          </w:tcPr>
          <w:p w:rsidR="00CD6BAD" w:rsidRPr="00CD6BAD" w:rsidRDefault="00CD6BAD" w:rsidP="00CD6BAD">
            <w:pPr>
              <w:jc w:val="cente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01</w:t>
            </w:r>
          </w:p>
        </w:tc>
        <w:tc>
          <w:tcPr>
            <w:tcW w:w="580" w:type="dxa"/>
            <w:tcBorders>
              <w:top w:val="single" w:sz="4" w:space="0" w:color="000000"/>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single" w:sz="4" w:space="0" w:color="000000"/>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single" w:sz="4" w:space="0" w:color="000000"/>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Aktivnosti općih javnih službi</w:t>
            </w:r>
          </w:p>
        </w:tc>
        <w:tc>
          <w:tcPr>
            <w:tcW w:w="1280" w:type="dxa"/>
            <w:tcBorders>
              <w:top w:val="single" w:sz="4" w:space="0" w:color="000000"/>
              <w:left w:val="single" w:sz="8" w:space="0" w:color="000000"/>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17.871.397</w:t>
            </w:r>
          </w:p>
        </w:tc>
        <w:tc>
          <w:tcPr>
            <w:tcW w:w="1280" w:type="dxa"/>
            <w:tcBorders>
              <w:top w:val="single" w:sz="4" w:space="0" w:color="000000"/>
              <w:left w:val="nil"/>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18.652.646</w:t>
            </w:r>
          </w:p>
        </w:tc>
        <w:tc>
          <w:tcPr>
            <w:tcW w:w="860" w:type="dxa"/>
            <w:tcBorders>
              <w:top w:val="nil"/>
              <w:left w:val="single" w:sz="4" w:space="0" w:color="auto"/>
              <w:bottom w:val="single" w:sz="4" w:space="0" w:color="auto"/>
              <w:right w:val="single" w:sz="4" w:space="0" w:color="auto"/>
            </w:tcBorders>
            <w:shd w:val="clear" w:color="D3D3D3" w:fill="D9D9D9"/>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7,37</w:t>
            </w:r>
          </w:p>
        </w:tc>
        <w:tc>
          <w:tcPr>
            <w:tcW w:w="760" w:type="dxa"/>
            <w:tcBorders>
              <w:top w:val="nil"/>
              <w:left w:val="nil"/>
              <w:bottom w:val="single" w:sz="4" w:space="0" w:color="auto"/>
              <w:right w:val="single" w:sz="4" w:space="0" w:color="auto"/>
            </w:tcBorders>
            <w:shd w:val="clear" w:color="000000" w:fill="D9D9D9"/>
            <w:noWrap/>
            <w:hideMark/>
          </w:tcPr>
          <w:p w:rsidR="00CD6BAD" w:rsidRPr="00CD6BAD" w:rsidRDefault="00CD6BAD" w:rsidP="00CD6BAD">
            <w:pPr>
              <w:jc w:val="right"/>
              <w:rPr>
                <w:rFonts w:ascii="Arial" w:hAnsi="Arial" w:cs="Arial"/>
                <w:b/>
                <w:bCs/>
                <w:sz w:val="16"/>
                <w:szCs w:val="16"/>
                <w:lang w:val="hr-HR" w:eastAsia="hr-HR"/>
              </w:rPr>
            </w:pPr>
            <w:r w:rsidRPr="00CD6BAD">
              <w:rPr>
                <w:rFonts w:ascii="Arial" w:hAnsi="Arial" w:cs="Arial"/>
                <w:b/>
                <w:bCs/>
                <w:sz w:val="16"/>
                <w:szCs w:val="16"/>
                <w:lang w:val="hr-HR" w:eastAsia="hr-HR"/>
              </w:rPr>
              <w:t>104,37</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011</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14.820.937</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15.456.451</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6,11</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104,288</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0111</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Izvršni i zakonodavni organi</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10.366.240</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10.662.596</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4,21</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102,859</w:t>
            </w:r>
          </w:p>
        </w:tc>
      </w:tr>
      <w:tr w:rsidR="00CD6BAD" w:rsidRPr="00CD6BAD" w:rsidTr="00CD6BAD">
        <w:trPr>
          <w:trHeight w:val="225"/>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0112</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 xml:space="preserve">Finansijski i fiskalni poslovi </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4.454.697</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4.793.855</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1,89</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107,613</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013</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Opće usluge</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3.050.460</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3.196.195</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1,26</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104,777</w:t>
            </w:r>
          </w:p>
        </w:tc>
      </w:tr>
      <w:tr w:rsidR="00CD6BAD" w:rsidRPr="00CD6BAD" w:rsidTr="00CD6BAD">
        <w:trPr>
          <w:trHeight w:val="21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0133</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Ostale opće usluge</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3.050.460</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3.196.195</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1,26</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104,777</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D3D3D3" w:fill="D3D3D3"/>
            <w:hideMark/>
          </w:tcPr>
          <w:p w:rsidR="00CD6BAD" w:rsidRPr="00CD6BAD" w:rsidRDefault="00CD6BAD" w:rsidP="00CD6BAD">
            <w:pPr>
              <w:jc w:val="cente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02</w:t>
            </w:r>
          </w:p>
        </w:tc>
        <w:tc>
          <w:tcPr>
            <w:tcW w:w="58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xml:space="preserve">Odbrana </w:t>
            </w:r>
          </w:p>
        </w:tc>
        <w:tc>
          <w:tcPr>
            <w:tcW w:w="1280" w:type="dxa"/>
            <w:tcBorders>
              <w:top w:val="nil"/>
              <w:left w:val="single" w:sz="8" w:space="0" w:color="000000"/>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2.855.805</w:t>
            </w:r>
          </w:p>
        </w:tc>
        <w:tc>
          <w:tcPr>
            <w:tcW w:w="1280" w:type="dxa"/>
            <w:tcBorders>
              <w:top w:val="nil"/>
              <w:left w:val="nil"/>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907.287</w:t>
            </w:r>
          </w:p>
        </w:tc>
        <w:tc>
          <w:tcPr>
            <w:tcW w:w="860" w:type="dxa"/>
            <w:tcBorders>
              <w:top w:val="nil"/>
              <w:left w:val="single" w:sz="4" w:space="0" w:color="auto"/>
              <w:bottom w:val="single" w:sz="4" w:space="0" w:color="auto"/>
              <w:right w:val="single" w:sz="4" w:space="0" w:color="auto"/>
            </w:tcBorders>
            <w:shd w:val="clear" w:color="D3D3D3" w:fill="D9D9D9"/>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0,36</w:t>
            </w:r>
          </w:p>
        </w:tc>
        <w:tc>
          <w:tcPr>
            <w:tcW w:w="760" w:type="dxa"/>
            <w:tcBorders>
              <w:top w:val="nil"/>
              <w:left w:val="nil"/>
              <w:bottom w:val="single" w:sz="4" w:space="0" w:color="auto"/>
              <w:right w:val="single" w:sz="4" w:space="0" w:color="auto"/>
            </w:tcBorders>
            <w:shd w:val="clear" w:color="000000" w:fill="D9D9D9"/>
            <w:noWrap/>
            <w:hideMark/>
          </w:tcPr>
          <w:p w:rsidR="00CD6BAD" w:rsidRPr="00CD6BAD" w:rsidRDefault="00CD6BAD" w:rsidP="00CD6BAD">
            <w:pPr>
              <w:jc w:val="right"/>
              <w:rPr>
                <w:rFonts w:ascii="Arial" w:hAnsi="Arial" w:cs="Arial"/>
                <w:b/>
                <w:bCs/>
                <w:sz w:val="16"/>
                <w:szCs w:val="16"/>
                <w:lang w:val="hr-HR" w:eastAsia="hr-HR"/>
              </w:rPr>
            </w:pPr>
            <w:r w:rsidRPr="00CD6BAD">
              <w:rPr>
                <w:rFonts w:ascii="Arial" w:hAnsi="Arial" w:cs="Arial"/>
                <w:b/>
                <w:bCs/>
                <w:sz w:val="16"/>
                <w:szCs w:val="16"/>
                <w:lang w:val="hr-HR" w:eastAsia="hr-HR"/>
              </w:rPr>
              <w:t>31,7699</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022</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Civilna odbrana</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2.855.805</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907.287</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0,36</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31,7699</w:t>
            </w:r>
          </w:p>
        </w:tc>
      </w:tr>
      <w:tr w:rsidR="00CD6BAD" w:rsidRPr="00CD6BAD" w:rsidTr="00CD6BAD">
        <w:trPr>
          <w:trHeight w:val="225"/>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0220</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Civilna odbrana</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2.855.805</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907.287</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0,36</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31,7699</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D3D3D3" w:fill="D3D3D3"/>
            <w:hideMark/>
          </w:tcPr>
          <w:p w:rsidR="00CD6BAD" w:rsidRPr="00CD6BAD" w:rsidRDefault="00CD6BAD" w:rsidP="00CD6BAD">
            <w:pPr>
              <w:jc w:val="cente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03</w:t>
            </w:r>
          </w:p>
        </w:tc>
        <w:tc>
          <w:tcPr>
            <w:tcW w:w="58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xml:space="preserve"> Javni red i sigurnost</w:t>
            </w:r>
          </w:p>
        </w:tc>
        <w:tc>
          <w:tcPr>
            <w:tcW w:w="1280" w:type="dxa"/>
            <w:tcBorders>
              <w:top w:val="nil"/>
              <w:left w:val="single" w:sz="8" w:space="0" w:color="000000"/>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56.984.727</w:t>
            </w:r>
          </w:p>
        </w:tc>
        <w:tc>
          <w:tcPr>
            <w:tcW w:w="1280" w:type="dxa"/>
            <w:tcBorders>
              <w:top w:val="nil"/>
              <w:left w:val="nil"/>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64.854.525</w:t>
            </w:r>
          </w:p>
        </w:tc>
        <w:tc>
          <w:tcPr>
            <w:tcW w:w="860" w:type="dxa"/>
            <w:tcBorders>
              <w:top w:val="nil"/>
              <w:left w:val="single" w:sz="4" w:space="0" w:color="auto"/>
              <w:bottom w:val="single" w:sz="4" w:space="0" w:color="auto"/>
              <w:right w:val="single" w:sz="4" w:space="0" w:color="auto"/>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25,62</w:t>
            </w:r>
          </w:p>
        </w:tc>
        <w:tc>
          <w:tcPr>
            <w:tcW w:w="760" w:type="dxa"/>
            <w:tcBorders>
              <w:top w:val="nil"/>
              <w:left w:val="nil"/>
              <w:bottom w:val="single" w:sz="4" w:space="0" w:color="auto"/>
              <w:right w:val="single" w:sz="4" w:space="0" w:color="auto"/>
            </w:tcBorders>
            <w:shd w:val="clear" w:color="000000" w:fill="D9D9D9"/>
            <w:noWrap/>
            <w:hideMark/>
          </w:tcPr>
          <w:p w:rsidR="00CD6BAD" w:rsidRPr="00CD6BAD" w:rsidRDefault="00CD6BAD" w:rsidP="00CD6BAD">
            <w:pPr>
              <w:jc w:val="right"/>
              <w:rPr>
                <w:rFonts w:ascii="Arial" w:hAnsi="Arial" w:cs="Arial"/>
                <w:b/>
                <w:bCs/>
                <w:sz w:val="16"/>
                <w:szCs w:val="16"/>
                <w:lang w:val="hr-HR" w:eastAsia="hr-HR"/>
              </w:rPr>
            </w:pPr>
            <w:r w:rsidRPr="00CD6BAD">
              <w:rPr>
                <w:rFonts w:ascii="Arial" w:hAnsi="Arial" w:cs="Arial"/>
                <w:b/>
                <w:bCs/>
                <w:sz w:val="16"/>
                <w:szCs w:val="16"/>
                <w:lang w:val="hr-HR" w:eastAsia="hr-HR"/>
              </w:rPr>
              <w:t>113,81</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031</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Policijske usluge</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39.001.870</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44.433.729</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17,56</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113,927</w:t>
            </w:r>
          </w:p>
        </w:tc>
      </w:tr>
      <w:tr w:rsidR="00CD6BAD" w:rsidRPr="00CD6BAD" w:rsidTr="00CD6BAD">
        <w:trPr>
          <w:trHeight w:val="225"/>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0310</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Policijske usluge</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39.001.870</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44.433.729</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17,56</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113,927</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033</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Sudovi</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17.982.857</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20.420.796</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8,07</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113,557</w:t>
            </w:r>
          </w:p>
        </w:tc>
      </w:tr>
      <w:tr w:rsidR="00CD6BAD" w:rsidRPr="00CD6BAD" w:rsidTr="00CD6BAD">
        <w:trPr>
          <w:trHeight w:val="24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lastRenderedPageBreak/>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0330</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Sudovi</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17.982.857</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20.420.796</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8,07</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113,557</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D3D3D3" w:fill="D3D3D3"/>
            <w:hideMark/>
          </w:tcPr>
          <w:p w:rsidR="00CD6BAD" w:rsidRPr="00CD6BAD" w:rsidRDefault="00CD6BAD" w:rsidP="00CD6BAD">
            <w:pPr>
              <w:jc w:val="cente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04</w:t>
            </w:r>
          </w:p>
        </w:tc>
        <w:tc>
          <w:tcPr>
            <w:tcW w:w="58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Ekonomski posovi</w:t>
            </w:r>
          </w:p>
        </w:tc>
        <w:tc>
          <w:tcPr>
            <w:tcW w:w="1280" w:type="dxa"/>
            <w:tcBorders>
              <w:top w:val="nil"/>
              <w:left w:val="single" w:sz="8" w:space="0" w:color="000000"/>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20.336.627</w:t>
            </w:r>
          </w:p>
        </w:tc>
        <w:tc>
          <w:tcPr>
            <w:tcW w:w="1280" w:type="dxa"/>
            <w:tcBorders>
              <w:top w:val="nil"/>
              <w:left w:val="nil"/>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22.624.401</w:t>
            </w:r>
          </w:p>
        </w:tc>
        <w:tc>
          <w:tcPr>
            <w:tcW w:w="860" w:type="dxa"/>
            <w:tcBorders>
              <w:top w:val="nil"/>
              <w:left w:val="single" w:sz="4" w:space="0" w:color="auto"/>
              <w:bottom w:val="single" w:sz="4" w:space="0" w:color="auto"/>
              <w:right w:val="single" w:sz="4" w:space="0" w:color="auto"/>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8,94</w:t>
            </w:r>
          </w:p>
        </w:tc>
        <w:tc>
          <w:tcPr>
            <w:tcW w:w="760" w:type="dxa"/>
            <w:tcBorders>
              <w:top w:val="nil"/>
              <w:left w:val="nil"/>
              <w:bottom w:val="single" w:sz="4" w:space="0" w:color="auto"/>
              <w:right w:val="single" w:sz="4" w:space="0" w:color="auto"/>
            </w:tcBorders>
            <w:shd w:val="clear" w:color="000000" w:fill="D9D9D9"/>
            <w:noWrap/>
            <w:hideMark/>
          </w:tcPr>
          <w:p w:rsidR="00CD6BAD" w:rsidRPr="00CD6BAD" w:rsidRDefault="00CD6BAD" w:rsidP="00CD6BAD">
            <w:pPr>
              <w:jc w:val="right"/>
              <w:rPr>
                <w:rFonts w:ascii="Arial" w:hAnsi="Arial" w:cs="Arial"/>
                <w:b/>
                <w:bCs/>
                <w:sz w:val="16"/>
                <w:szCs w:val="16"/>
                <w:lang w:val="hr-HR" w:eastAsia="hr-HR"/>
              </w:rPr>
            </w:pPr>
            <w:r w:rsidRPr="00CD6BAD">
              <w:rPr>
                <w:rFonts w:ascii="Arial" w:hAnsi="Arial" w:cs="Arial"/>
                <w:b/>
                <w:bCs/>
                <w:sz w:val="16"/>
                <w:szCs w:val="16"/>
                <w:lang w:val="hr-HR" w:eastAsia="hr-HR"/>
              </w:rPr>
              <w:t>111,25</w:t>
            </w:r>
          </w:p>
        </w:tc>
      </w:tr>
      <w:tr w:rsidR="00CD6BAD" w:rsidRPr="00CD6BAD" w:rsidTr="00CD6BAD">
        <w:trPr>
          <w:trHeight w:val="465"/>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041</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Opći ekonomski, komercijalni i poslovi po pitanju rada</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1.975.040</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2.201.305</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0,87</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111,456</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0412</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Opći poslovi po pitanju rada</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1.975.040</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2.201.305</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0,87</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111,456</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042</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Poljoprivreda, šumarstvo, lov i ribolov</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13.295.608</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15.635.372</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6,18</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117,598</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0421</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Poljoprivreda</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11.199.175</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13.488.114</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5,33</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120,438</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0422</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Šumarstvo</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2.096.433</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2.147.258</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0,85</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102,424</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049</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Ekonomski poslovi n. k.</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5.065.979</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4.787.724</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1,89</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94,5074</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0490</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Ekonomski poslovi n. k.</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5.065.979</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4.787.724</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1,89</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94,5074</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D3D3D3" w:fill="D3D3D3"/>
            <w:hideMark/>
          </w:tcPr>
          <w:p w:rsidR="00CD6BAD" w:rsidRPr="00CD6BAD" w:rsidRDefault="00CD6BAD" w:rsidP="00CD6BAD">
            <w:pPr>
              <w:jc w:val="cente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06</w:t>
            </w:r>
          </w:p>
        </w:tc>
        <w:tc>
          <w:tcPr>
            <w:tcW w:w="58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Stambeni i zajednički poslovi</w:t>
            </w:r>
          </w:p>
        </w:tc>
        <w:tc>
          <w:tcPr>
            <w:tcW w:w="1280" w:type="dxa"/>
            <w:tcBorders>
              <w:top w:val="nil"/>
              <w:left w:val="single" w:sz="8" w:space="0" w:color="000000"/>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2.475.678</w:t>
            </w:r>
          </w:p>
        </w:tc>
        <w:tc>
          <w:tcPr>
            <w:tcW w:w="1280" w:type="dxa"/>
            <w:tcBorders>
              <w:top w:val="nil"/>
              <w:left w:val="nil"/>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2.885.452</w:t>
            </w:r>
          </w:p>
        </w:tc>
        <w:tc>
          <w:tcPr>
            <w:tcW w:w="860" w:type="dxa"/>
            <w:tcBorders>
              <w:top w:val="nil"/>
              <w:left w:val="single" w:sz="4" w:space="0" w:color="auto"/>
              <w:bottom w:val="single" w:sz="4" w:space="0" w:color="auto"/>
              <w:right w:val="single" w:sz="4" w:space="0" w:color="auto"/>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1,14</w:t>
            </w:r>
          </w:p>
        </w:tc>
        <w:tc>
          <w:tcPr>
            <w:tcW w:w="760" w:type="dxa"/>
            <w:tcBorders>
              <w:top w:val="nil"/>
              <w:left w:val="nil"/>
              <w:bottom w:val="single" w:sz="4" w:space="0" w:color="auto"/>
              <w:right w:val="single" w:sz="4" w:space="0" w:color="auto"/>
            </w:tcBorders>
            <w:shd w:val="clear" w:color="000000" w:fill="D9D9D9"/>
            <w:noWrap/>
            <w:hideMark/>
          </w:tcPr>
          <w:p w:rsidR="00CD6BAD" w:rsidRPr="00CD6BAD" w:rsidRDefault="00CD6BAD" w:rsidP="00CD6BAD">
            <w:pPr>
              <w:jc w:val="right"/>
              <w:rPr>
                <w:rFonts w:ascii="Arial" w:hAnsi="Arial" w:cs="Arial"/>
                <w:b/>
                <w:bCs/>
                <w:sz w:val="16"/>
                <w:szCs w:val="16"/>
                <w:lang w:val="hr-HR" w:eastAsia="hr-HR"/>
              </w:rPr>
            </w:pPr>
            <w:r w:rsidRPr="00CD6BAD">
              <w:rPr>
                <w:rFonts w:ascii="Arial" w:hAnsi="Arial" w:cs="Arial"/>
                <w:b/>
                <w:bCs/>
                <w:sz w:val="16"/>
                <w:szCs w:val="16"/>
                <w:lang w:val="hr-HR" w:eastAsia="hr-HR"/>
              </w:rPr>
              <w:t>116,552</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066</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Stambeni i zajednički poslovi n. k.</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2.475.678</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2.885.452</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1,14</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116,552</w:t>
            </w:r>
          </w:p>
        </w:tc>
      </w:tr>
      <w:tr w:rsidR="00CD6BAD" w:rsidRPr="00CD6BAD" w:rsidTr="00CD6BAD">
        <w:trPr>
          <w:trHeight w:val="21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0660</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Stambeni i zajednički poslovi n. k.</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2.475.678</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2.885.452</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1,14</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116,552</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D3D3D3" w:fill="D3D3D3"/>
            <w:hideMark/>
          </w:tcPr>
          <w:p w:rsidR="00CD6BAD" w:rsidRPr="00CD6BAD" w:rsidRDefault="00CD6BAD" w:rsidP="00CD6BAD">
            <w:pPr>
              <w:jc w:val="cente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07</w:t>
            </w:r>
          </w:p>
        </w:tc>
        <w:tc>
          <w:tcPr>
            <w:tcW w:w="58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Zdravstvo</w:t>
            </w:r>
          </w:p>
        </w:tc>
        <w:tc>
          <w:tcPr>
            <w:tcW w:w="1280" w:type="dxa"/>
            <w:tcBorders>
              <w:top w:val="nil"/>
              <w:left w:val="single" w:sz="8" w:space="0" w:color="000000"/>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4.768.400</w:t>
            </w:r>
          </w:p>
        </w:tc>
        <w:tc>
          <w:tcPr>
            <w:tcW w:w="1280" w:type="dxa"/>
            <w:tcBorders>
              <w:top w:val="nil"/>
              <w:left w:val="nil"/>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3.501.570</w:t>
            </w:r>
          </w:p>
        </w:tc>
        <w:tc>
          <w:tcPr>
            <w:tcW w:w="860" w:type="dxa"/>
            <w:tcBorders>
              <w:top w:val="nil"/>
              <w:left w:val="single" w:sz="4" w:space="0" w:color="auto"/>
              <w:bottom w:val="single" w:sz="4" w:space="0" w:color="auto"/>
              <w:right w:val="single" w:sz="4" w:space="0" w:color="auto"/>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1,38</w:t>
            </w:r>
          </w:p>
        </w:tc>
        <w:tc>
          <w:tcPr>
            <w:tcW w:w="760" w:type="dxa"/>
            <w:tcBorders>
              <w:top w:val="nil"/>
              <w:left w:val="nil"/>
              <w:bottom w:val="single" w:sz="4" w:space="0" w:color="auto"/>
              <w:right w:val="single" w:sz="4" w:space="0" w:color="auto"/>
            </w:tcBorders>
            <w:shd w:val="clear" w:color="000000" w:fill="D9D9D9"/>
            <w:noWrap/>
            <w:hideMark/>
          </w:tcPr>
          <w:p w:rsidR="00CD6BAD" w:rsidRPr="00CD6BAD" w:rsidRDefault="00CD6BAD" w:rsidP="00CD6BAD">
            <w:pPr>
              <w:jc w:val="right"/>
              <w:rPr>
                <w:rFonts w:ascii="Arial" w:hAnsi="Arial" w:cs="Arial"/>
                <w:b/>
                <w:bCs/>
                <w:sz w:val="16"/>
                <w:szCs w:val="16"/>
                <w:lang w:val="hr-HR" w:eastAsia="hr-HR"/>
              </w:rPr>
            </w:pPr>
            <w:r w:rsidRPr="00CD6BAD">
              <w:rPr>
                <w:rFonts w:ascii="Arial" w:hAnsi="Arial" w:cs="Arial"/>
                <w:b/>
                <w:bCs/>
                <w:sz w:val="16"/>
                <w:szCs w:val="16"/>
                <w:lang w:val="hr-HR" w:eastAsia="hr-HR"/>
              </w:rPr>
              <w:t>73,4328</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073</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4.768.400</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3.501.570</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1,38</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73,4328</w:t>
            </w:r>
          </w:p>
        </w:tc>
      </w:tr>
      <w:tr w:rsidR="00CD6BAD" w:rsidRPr="00CD6BAD" w:rsidTr="00CD6BAD">
        <w:trPr>
          <w:trHeight w:val="24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0731</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 xml:space="preserve">Opšte bolničke usluge </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4.768.400</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3.501.570</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1,38</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73,4328</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D3D3D3" w:fill="D3D3D3"/>
            <w:hideMark/>
          </w:tcPr>
          <w:p w:rsidR="00CD6BAD" w:rsidRPr="00CD6BAD" w:rsidRDefault="00CD6BAD" w:rsidP="00CD6BAD">
            <w:pPr>
              <w:jc w:val="cente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08</w:t>
            </w:r>
          </w:p>
        </w:tc>
        <w:tc>
          <w:tcPr>
            <w:tcW w:w="58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1280" w:type="dxa"/>
            <w:tcBorders>
              <w:top w:val="nil"/>
              <w:left w:val="single" w:sz="8" w:space="0" w:color="000000"/>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875.786</w:t>
            </w:r>
          </w:p>
        </w:tc>
        <w:tc>
          <w:tcPr>
            <w:tcW w:w="1280" w:type="dxa"/>
            <w:tcBorders>
              <w:top w:val="nil"/>
              <w:left w:val="nil"/>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911.211</w:t>
            </w:r>
          </w:p>
        </w:tc>
        <w:tc>
          <w:tcPr>
            <w:tcW w:w="860" w:type="dxa"/>
            <w:tcBorders>
              <w:top w:val="nil"/>
              <w:left w:val="single" w:sz="4" w:space="0" w:color="auto"/>
              <w:bottom w:val="single" w:sz="4" w:space="0" w:color="auto"/>
              <w:right w:val="single" w:sz="4" w:space="0" w:color="auto"/>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0,36</w:t>
            </w:r>
          </w:p>
        </w:tc>
        <w:tc>
          <w:tcPr>
            <w:tcW w:w="760" w:type="dxa"/>
            <w:tcBorders>
              <w:top w:val="nil"/>
              <w:left w:val="nil"/>
              <w:bottom w:val="single" w:sz="4" w:space="0" w:color="auto"/>
              <w:right w:val="single" w:sz="4" w:space="0" w:color="auto"/>
            </w:tcBorders>
            <w:shd w:val="clear" w:color="000000" w:fill="D9D9D9"/>
            <w:noWrap/>
            <w:hideMark/>
          </w:tcPr>
          <w:p w:rsidR="00CD6BAD" w:rsidRPr="00CD6BAD" w:rsidRDefault="00CD6BAD" w:rsidP="00CD6BAD">
            <w:pPr>
              <w:jc w:val="right"/>
              <w:rPr>
                <w:rFonts w:ascii="Arial" w:hAnsi="Arial" w:cs="Arial"/>
                <w:b/>
                <w:bCs/>
                <w:sz w:val="16"/>
                <w:szCs w:val="16"/>
                <w:lang w:val="hr-HR" w:eastAsia="hr-HR"/>
              </w:rPr>
            </w:pPr>
            <w:r w:rsidRPr="00CD6BAD">
              <w:rPr>
                <w:rFonts w:ascii="Arial" w:hAnsi="Arial" w:cs="Arial"/>
                <w:b/>
                <w:bCs/>
                <w:sz w:val="16"/>
                <w:szCs w:val="16"/>
                <w:lang w:val="hr-HR" w:eastAsia="hr-HR"/>
              </w:rPr>
              <w:t>104,045</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082</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875.786</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911.211</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0,36</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104,045</w:t>
            </w:r>
          </w:p>
        </w:tc>
      </w:tr>
      <w:tr w:rsidR="00CD6BAD" w:rsidRPr="00CD6BAD" w:rsidTr="00CD6BAD">
        <w:trPr>
          <w:trHeight w:val="195"/>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0820</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Usluge kulture</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875.786</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911.211</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0,36</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104,045</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D3D3D3" w:fill="D3D3D3"/>
            <w:hideMark/>
          </w:tcPr>
          <w:p w:rsidR="00CD6BAD" w:rsidRPr="00CD6BAD" w:rsidRDefault="00CD6BAD" w:rsidP="00CD6BAD">
            <w:pPr>
              <w:jc w:val="cente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09</w:t>
            </w:r>
          </w:p>
        </w:tc>
        <w:tc>
          <w:tcPr>
            <w:tcW w:w="58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Obrazovanje</w:t>
            </w:r>
          </w:p>
        </w:tc>
        <w:tc>
          <w:tcPr>
            <w:tcW w:w="1280" w:type="dxa"/>
            <w:tcBorders>
              <w:top w:val="nil"/>
              <w:left w:val="single" w:sz="8" w:space="0" w:color="000000"/>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108.555.688</w:t>
            </w:r>
          </w:p>
        </w:tc>
        <w:tc>
          <w:tcPr>
            <w:tcW w:w="1280" w:type="dxa"/>
            <w:tcBorders>
              <w:top w:val="nil"/>
              <w:left w:val="nil"/>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111.566.574</w:t>
            </w:r>
          </w:p>
        </w:tc>
        <w:tc>
          <w:tcPr>
            <w:tcW w:w="860" w:type="dxa"/>
            <w:tcBorders>
              <w:top w:val="nil"/>
              <w:left w:val="single" w:sz="4" w:space="0" w:color="auto"/>
              <w:bottom w:val="single" w:sz="4" w:space="0" w:color="auto"/>
              <w:right w:val="single" w:sz="4" w:space="0" w:color="auto"/>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44,08</w:t>
            </w:r>
          </w:p>
        </w:tc>
        <w:tc>
          <w:tcPr>
            <w:tcW w:w="760" w:type="dxa"/>
            <w:tcBorders>
              <w:top w:val="nil"/>
              <w:left w:val="nil"/>
              <w:bottom w:val="single" w:sz="4" w:space="0" w:color="auto"/>
              <w:right w:val="single" w:sz="4" w:space="0" w:color="auto"/>
            </w:tcBorders>
            <w:shd w:val="clear" w:color="000000" w:fill="D9D9D9"/>
            <w:noWrap/>
            <w:hideMark/>
          </w:tcPr>
          <w:p w:rsidR="00CD6BAD" w:rsidRPr="00CD6BAD" w:rsidRDefault="00CD6BAD" w:rsidP="00CD6BAD">
            <w:pPr>
              <w:jc w:val="right"/>
              <w:rPr>
                <w:rFonts w:ascii="Arial" w:hAnsi="Arial" w:cs="Arial"/>
                <w:b/>
                <w:bCs/>
                <w:sz w:val="16"/>
                <w:szCs w:val="16"/>
                <w:lang w:val="hr-HR" w:eastAsia="hr-HR"/>
              </w:rPr>
            </w:pPr>
            <w:r w:rsidRPr="00CD6BAD">
              <w:rPr>
                <w:rFonts w:ascii="Arial" w:hAnsi="Arial" w:cs="Arial"/>
                <w:b/>
                <w:bCs/>
                <w:sz w:val="16"/>
                <w:szCs w:val="16"/>
                <w:lang w:val="hr-HR" w:eastAsia="hr-HR"/>
              </w:rPr>
              <w:t>102,774</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091</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58.342.244</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59.153.326</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23,37</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101,39</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0912</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Osnovno obrazovanje</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58.342.244</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59.153.326</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23,37</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101,39</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092</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25.875.352</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26.382.763</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10,42</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101,961</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0922</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Više srednje obrazovanje obuhvata</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25.875.352</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26.382.763</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10,42</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101,961</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094</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Visoko obrazovanje</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12.192.160</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12.299.460</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4,86</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100,88</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0941</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Prvi stepen visokog obrazovanja</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12.192.160</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12.299.460</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4,86</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100,88</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098</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12.145.932</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13.731.025</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5,43</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113,05</w:t>
            </w:r>
          </w:p>
        </w:tc>
      </w:tr>
      <w:tr w:rsidR="00CD6BAD" w:rsidRPr="00CD6BAD" w:rsidTr="00CD6BAD">
        <w:trPr>
          <w:trHeight w:val="30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0980</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Obrazovanje n. k.</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12.145.932</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13.731.025</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5,43</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113,05</w:t>
            </w:r>
          </w:p>
        </w:tc>
      </w:tr>
      <w:tr w:rsidR="00CD6BAD" w:rsidRPr="00CD6BAD" w:rsidTr="00CD6BAD">
        <w:trPr>
          <w:trHeight w:val="240"/>
        </w:trPr>
        <w:tc>
          <w:tcPr>
            <w:tcW w:w="580" w:type="dxa"/>
            <w:tcBorders>
              <w:top w:val="nil"/>
              <w:left w:val="single" w:sz="8" w:space="0" w:color="000000"/>
              <w:bottom w:val="single" w:sz="4" w:space="0" w:color="000000"/>
              <w:right w:val="single" w:sz="4" w:space="0" w:color="000000"/>
            </w:tcBorders>
            <w:shd w:val="clear" w:color="D3D3D3" w:fill="D3D3D3"/>
            <w:hideMark/>
          </w:tcPr>
          <w:p w:rsidR="00CD6BAD" w:rsidRPr="00CD6BAD" w:rsidRDefault="00CD6BAD" w:rsidP="00CD6BAD">
            <w:pPr>
              <w:jc w:val="cente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10</w:t>
            </w:r>
          </w:p>
        </w:tc>
        <w:tc>
          <w:tcPr>
            <w:tcW w:w="58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D3D3D3" w:fill="D3D3D3"/>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Socijalna zaštita</w:t>
            </w:r>
          </w:p>
        </w:tc>
        <w:tc>
          <w:tcPr>
            <w:tcW w:w="1280" w:type="dxa"/>
            <w:tcBorders>
              <w:top w:val="nil"/>
              <w:left w:val="single" w:sz="8" w:space="0" w:color="000000"/>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18.501.950</w:t>
            </w:r>
          </w:p>
        </w:tc>
        <w:tc>
          <w:tcPr>
            <w:tcW w:w="1280" w:type="dxa"/>
            <w:tcBorders>
              <w:top w:val="nil"/>
              <w:left w:val="nil"/>
              <w:bottom w:val="single" w:sz="4" w:space="0" w:color="000000"/>
              <w:right w:val="single" w:sz="8" w:space="0" w:color="000000"/>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27.195.559</w:t>
            </w:r>
          </w:p>
        </w:tc>
        <w:tc>
          <w:tcPr>
            <w:tcW w:w="860" w:type="dxa"/>
            <w:tcBorders>
              <w:top w:val="nil"/>
              <w:left w:val="single" w:sz="4" w:space="0" w:color="auto"/>
              <w:bottom w:val="single" w:sz="4" w:space="0" w:color="auto"/>
              <w:right w:val="single" w:sz="4" w:space="0" w:color="auto"/>
            </w:tcBorders>
            <w:shd w:val="clear" w:color="D3D3D3" w:fill="D3D3D3"/>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10,75</w:t>
            </w:r>
          </w:p>
        </w:tc>
        <w:tc>
          <w:tcPr>
            <w:tcW w:w="760" w:type="dxa"/>
            <w:tcBorders>
              <w:top w:val="nil"/>
              <w:left w:val="nil"/>
              <w:bottom w:val="single" w:sz="4" w:space="0" w:color="auto"/>
              <w:right w:val="single" w:sz="4" w:space="0" w:color="auto"/>
            </w:tcBorders>
            <w:shd w:val="clear" w:color="000000" w:fill="D9D9D9"/>
            <w:noWrap/>
            <w:hideMark/>
          </w:tcPr>
          <w:p w:rsidR="00CD6BAD" w:rsidRPr="00CD6BAD" w:rsidRDefault="00CD6BAD" w:rsidP="00CD6BAD">
            <w:pPr>
              <w:jc w:val="right"/>
              <w:rPr>
                <w:rFonts w:ascii="Arial" w:hAnsi="Arial" w:cs="Arial"/>
                <w:b/>
                <w:bCs/>
                <w:sz w:val="16"/>
                <w:szCs w:val="16"/>
                <w:lang w:val="hr-HR" w:eastAsia="hr-HR"/>
              </w:rPr>
            </w:pPr>
            <w:r w:rsidRPr="00CD6BAD">
              <w:rPr>
                <w:rFonts w:ascii="Arial" w:hAnsi="Arial" w:cs="Arial"/>
                <w:b/>
                <w:bCs/>
                <w:sz w:val="16"/>
                <w:szCs w:val="16"/>
                <w:lang w:val="hr-HR" w:eastAsia="hr-HR"/>
              </w:rPr>
              <w:t>146,988</w:t>
            </w:r>
          </w:p>
        </w:tc>
      </w:tr>
      <w:tr w:rsidR="00CD6BAD" w:rsidRPr="00CD6BAD" w:rsidTr="00CD6BAD">
        <w:trPr>
          <w:trHeight w:val="210"/>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109</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Socijalna zaštita n.k.</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18.501.950</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27.195.559</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10,75</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146,988</w:t>
            </w:r>
          </w:p>
        </w:tc>
      </w:tr>
      <w:tr w:rsidR="00CD6BAD" w:rsidRPr="00CD6BAD" w:rsidTr="00CD6BAD">
        <w:trPr>
          <w:trHeight w:val="225"/>
        </w:trPr>
        <w:tc>
          <w:tcPr>
            <w:tcW w:w="580" w:type="dxa"/>
            <w:tcBorders>
              <w:top w:val="nil"/>
              <w:left w:val="single" w:sz="8" w:space="0" w:color="000000"/>
              <w:bottom w:val="single" w:sz="4" w:space="0" w:color="000000"/>
              <w:right w:val="single" w:sz="4" w:space="0" w:color="000000"/>
            </w:tcBorders>
            <w:shd w:val="clear" w:color="auto" w:fill="auto"/>
            <w:hideMark/>
          </w:tcPr>
          <w:p w:rsidR="00CD6BAD" w:rsidRPr="00CD6BAD" w:rsidRDefault="00CD6BAD" w:rsidP="00CD6BAD">
            <w:pPr>
              <w:jc w:val="cente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 </w:t>
            </w:r>
          </w:p>
        </w:tc>
        <w:tc>
          <w:tcPr>
            <w:tcW w:w="82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1090</w:t>
            </w:r>
          </w:p>
        </w:tc>
        <w:tc>
          <w:tcPr>
            <w:tcW w:w="4200" w:type="dxa"/>
            <w:tcBorders>
              <w:top w:val="nil"/>
              <w:left w:val="nil"/>
              <w:bottom w:val="single" w:sz="4" w:space="0" w:color="000000"/>
              <w:right w:val="single" w:sz="4" w:space="0" w:color="000000"/>
            </w:tcBorders>
            <w:shd w:val="clear" w:color="auto" w:fill="auto"/>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Socijalna zaštita n.k.</w:t>
            </w:r>
          </w:p>
        </w:tc>
        <w:tc>
          <w:tcPr>
            <w:tcW w:w="1280" w:type="dxa"/>
            <w:tcBorders>
              <w:top w:val="nil"/>
              <w:left w:val="single" w:sz="8" w:space="0" w:color="000000"/>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18.501.950</w:t>
            </w:r>
          </w:p>
        </w:tc>
        <w:tc>
          <w:tcPr>
            <w:tcW w:w="1280" w:type="dxa"/>
            <w:tcBorders>
              <w:top w:val="nil"/>
              <w:left w:val="nil"/>
              <w:bottom w:val="single" w:sz="4" w:space="0" w:color="000000"/>
              <w:right w:val="single" w:sz="8" w:space="0" w:color="000000"/>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27.195.559</w:t>
            </w:r>
          </w:p>
        </w:tc>
        <w:tc>
          <w:tcPr>
            <w:tcW w:w="860" w:type="dxa"/>
            <w:tcBorders>
              <w:top w:val="nil"/>
              <w:left w:val="single" w:sz="4" w:space="0" w:color="auto"/>
              <w:bottom w:val="single" w:sz="4" w:space="0" w:color="auto"/>
              <w:right w:val="single" w:sz="4" w:space="0" w:color="auto"/>
            </w:tcBorders>
            <w:shd w:val="clear" w:color="auto" w:fill="auto"/>
            <w:hideMark/>
          </w:tcPr>
          <w:p w:rsidR="00CD6BAD" w:rsidRPr="00CD6BAD" w:rsidRDefault="00CD6BAD" w:rsidP="00CD6BAD">
            <w:pPr>
              <w:jc w:val="right"/>
              <w:rPr>
                <w:rFonts w:ascii="Arial" w:hAnsi="Arial" w:cs="Arial"/>
                <w:color w:val="000000"/>
                <w:sz w:val="16"/>
                <w:szCs w:val="16"/>
                <w:lang w:val="hr-HR" w:eastAsia="hr-HR"/>
              </w:rPr>
            </w:pPr>
            <w:r w:rsidRPr="00CD6BAD">
              <w:rPr>
                <w:rFonts w:ascii="Arial" w:hAnsi="Arial" w:cs="Arial"/>
                <w:color w:val="000000"/>
                <w:sz w:val="16"/>
                <w:szCs w:val="16"/>
                <w:lang w:val="hr-HR" w:eastAsia="hr-HR"/>
              </w:rPr>
              <w:t>10,75</w:t>
            </w:r>
          </w:p>
        </w:tc>
        <w:tc>
          <w:tcPr>
            <w:tcW w:w="760" w:type="dxa"/>
            <w:tcBorders>
              <w:top w:val="nil"/>
              <w:left w:val="nil"/>
              <w:bottom w:val="single" w:sz="4" w:space="0" w:color="auto"/>
              <w:right w:val="single" w:sz="4" w:space="0" w:color="auto"/>
            </w:tcBorders>
            <w:shd w:val="clear" w:color="auto" w:fill="auto"/>
            <w:noWrap/>
            <w:hideMark/>
          </w:tcPr>
          <w:p w:rsidR="00CD6BAD" w:rsidRPr="00CD6BAD" w:rsidRDefault="00CD6BAD" w:rsidP="00CD6BAD">
            <w:pPr>
              <w:jc w:val="right"/>
              <w:rPr>
                <w:rFonts w:ascii="Arial" w:hAnsi="Arial" w:cs="Arial"/>
                <w:sz w:val="16"/>
                <w:szCs w:val="16"/>
                <w:lang w:val="hr-HR" w:eastAsia="hr-HR"/>
              </w:rPr>
            </w:pPr>
            <w:r w:rsidRPr="00CD6BAD">
              <w:rPr>
                <w:rFonts w:ascii="Arial" w:hAnsi="Arial" w:cs="Arial"/>
                <w:sz w:val="16"/>
                <w:szCs w:val="16"/>
                <w:lang w:val="hr-HR" w:eastAsia="hr-HR"/>
              </w:rPr>
              <w:t>146,988</w:t>
            </w:r>
          </w:p>
        </w:tc>
      </w:tr>
      <w:tr w:rsidR="00CD6BAD" w:rsidRPr="00CD6BAD" w:rsidTr="00CD6BAD">
        <w:trPr>
          <w:trHeight w:val="240"/>
        </w:trPr>
        <w:tc>
          <w:tcPr>
            <w:tcW w:w="580" w:type="dxa"/>
            <w:tcBorders>
              <w:top w:val="nil"/>
              <w:left w:val="single" w:sz="8" w:space="0" w:color="000000"/>
              <w:bottom w:val="single" w:sz="8" w:space="0" w:color="000000"/>
              <w:right w:val="single" w:sz="4" w:space="0" w:color="000000"/>
            </w:tcBorders>
            <w:shd w:val="clear" w:color="000000" w:fill="D9D9D9"/>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580" w:type="dxa"/>
            <w:tcBorders>
              <w:top w:val="nil"/>
              <w:left w:val="nil"/>
              <w:bottom w:val="single" w:sz="8" w:space="0" w:color="000000"/>
              <w:right w:val="single" w:sz="4" w:space="0" w:color="000000"/>
            </w:tcBorders>
            <w:shd w:val="clear" w:color="000000" w:fill="D9D9D9"/>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820" w:type="dxa"/>
            <w:tcBorders>
              <w:top w:val="nil"/>
              <w:left w:val="nil"/>
              <w:bottom w:val="single" w:sz="8" w:space="0" w:color="000000"/>
              <w:right w:val="single" w:sz="4" w:space="0" w:color="000000"/>
            </w:tcBorders>
            <w:shd w:val="clear" w:color="000000" w:fill="D9D9D9"/>
            <w:hideMark/>
          </w:tcPr>
          <w:p w:rsidR="00CD6BAD" w:rsidRPr="00CD6BAD" w:rsidRDefault="00CD6BAD" w:rsidP="00CD6BAD">
            <w:pPr>
              <w:rPr>
                <w:rFonts w:ascii="Arial" w:hAnsi="Arial" w:cs="Arial"/>
                <w:color w:val="000000"/>
                <w:sz w:val="16"/>
                <w:szCs w:val="16"/>
                <w:lang w:val="hr-HR" w:eastAsia="hr-HR"/>
              </w:rPr>
            </w:pPr>
            <w:r w:rsidRPr="00CD6BAD">
              <w:rPr>
                <w:rFonts w:ascii="Arial" w:hAnsi="Arial" w:cs="Arial"/>
                <w:color w:val="000000"/>
                <w:sz w:val="16"/>
                <w:szCs w:val="16"/>
                <w:lang w:val="hr-HR" w:eastAsia="hr-HR"/>
              </w:rPr>
              <w:t> </w:t>
            </w:r>
          </w:p>
        </w:tc>
        <w:tc>
          <w:tcPr>
            <w:tcW w:w="4200" w:type="dxa"/>
            <w:tcBorders>
              <w:top w:val="nil"/>
              <w:left w:val="nil"/>
              <w:bottom w:val="single" w:sz="8" w:space="0" w:color="000000"/>
              <w:right w:val="single" w:sz="4" w:space="0" w:color="000000"/>
            </w:tcBorders>
            <w:shd w:val="clear" w:color="000000" w:fill="D9D9D9"/>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UKUPNO</w:t>
            </w:r>
          </w:p>
        </w:tc>
        <w:tc>
          <w:tcPr>
            <w:tcW w:w="1280" w:type="dxa"/>
            <w:tcBorders>
              <w:top w:val="nil"/>
              <w:left w:val="single" w:sz="8" w:space="0" w:color="000000"/>
              <w:bottom w:val="single" w:sz="8"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233.226.058</w:t>
            </w:r>
          </w:p>
        </w:tc>
        <w:tc>
          <w:tcPr>
            <w:tcW w:w="1280" w:type="dxa"/>
            <w:tcBorders>
              <w:top w:val="nil"/>
              <w:left w:val="nil"/>
              <w:bottom w:val="single" w:sz="8" w:space="0" w:color="000000"/>
              <w:right w:val="single" w:sz="8" w:space="0" w:color="000000"/>
            </w:tcBorders>
            <w:shd w:val="clear" w:color="auto" w:fill="auto"/>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253.099.225</w:t>
            </w:r>
          </w:p>
        </w:tc>
        <w:tc>
          <w:tcPr>
            <w:tcW w:w="860" w:type="dxa"/>
            <w:tcBorders>
              <w:top w:val="nil"/>
              <w:left w:val="single" w:sz="4" w:space="0" w:color="auto"/>
              <w:bottom w:val="single" w:sz="4" w:space="0" w:color="auto"/>
              <w:right w:val="single" w:sz="4" w:space="0" w:color="auto"/>
            </w:tcBorders>
            <w:shd w:val="clear" w:color="000000" w:fill="D9D9D9"/>
            <w:hideMark/>
          </w:tcPr>
          <w:p w:rsidR="00CD6BAD" w:rsidRPr="00CD6BAD" w:rsidRDefault="00CD6BAD" w:rsidP="00CD6BAD">
            <w:pPr>
              <w:jc w:val="right"/>
              <w:rPr>
                <w:rFonts w:ascii="Arial" w:hAnsi="Arial" w:cs="Arial"/>
                <w:b/>
                <w:bCs/>
                <w:color w:val="000000"/>
                <w:sz w:val="16"/>
                <w:szCs w:val="16"/>
                <w:lang w:val="hr-HR" w:eastAsia="hr-HR"/>
              </w:rPr>
            </w:pPr>
            <w:r w:rsidRPr="00CD6BAD">
              <w:rPr>
                <w:rFonts w:ascii="Arial" w:hAnsi="Arial" w:cs="Arial"/>
                <w:b/>
                <w:bCs/>
                <w:color w:val="000000"/>
                <w:sz w:val="16"/>
                <w:szCs w:val="16"/>
                <w:lang w:val="hr-HR" w:eastAsia="hr-HR"/>
              </w:rPr>
              <w:t>100,00</w:t>
            </w:r>
          </w:p>
        </w:tc>
        <w:tc>
          <w:tcPr>
            <w:tcW w:w="760" w:type="dxa"/>
            <w:tcBorders>
              <w:top w:val="nil"/>
              <w:left w:val="nil"/>
              <w:bottom w:val="single" w:sz="4" w:space="0" w:color="auto"/>
              <w:right w:val="single" w:sz="4" w:space="0" w:color="auto"/>
            </w:tcBorders>
            <w:shd w:val="clear" w:color="000000" w:fill="D9D9D9"/>
            <w:noWrap/>
            <w:hideMark/>
          </w:tcPr>
          <w:p w:rsidR="00CD6BAD" w:rsidRPr="00CD6BAD" w:rsidRDefault="00CD6BAD" w:rsidP="00CD6BAD">
            <w:pPr>
              <w:jc w:val="right"/>
              <w:rPr>
                <w:rFonts w:ascii="Arial" w:hAnsi="Arial" w:cs="Arial"/>
                <w:b/>
                <w:bCs/>
                <w:sz w:val="16"/>
                <w:szCs w:val="16"/>
                <w:lang w:val="hr-HR" w:eastAsia="hr-HR"/>
              </w:rPr>
            </w:pPr>
            <w:r w:rsidRPr="00CD6BAD">
              <w:rPr>
                <w:rFonts w:ascii="Arial" w:hAnsi="Arial" w:cs="Arial"/>
                <w:b/>
                <w:bCs/>
                <w:sz w:val="16"/>
                <w:szCs w:val="16"/>
                <w:lang w:val="hr-HR" w:eastAsia="hr-HR"/>
              </w:rPr>
              <w:t>108,521</w:t>
            </w:r>
          </w:p>
        </w:tc>
      </w:tr>
    </w:tbl>
    <w:p w:rsidR="00CD6BAD" w:rsidRDefault="00CD6BAD" w:rsidP="00345587">
      <w:pPr>
        <w:jc w:val="both"/>
        <w:rPr>
          <w:b/>
          <w:sz w:val="20"/>
          <w:lang w:val="hr-HR"/>
        </w:rPr>
      </w:pPr>
    </w:p>
    <w:p w:rsidR="00CD6BAD" w:rsidRDefault="00CD6BAD" w:rsidP="00345587">
      <w:pPr>
        <w:jc w:val="both"/>
        <w:rPr>
          <w:b/>
          <w:sz w:val="20"/>
          <w:lang w:val="hr-HR"/>
        </w:rPr>
      </w:pPr>
    </w:p>
    <w:p w:rsidR="0044702C" w:rsidRDefault="0044702C" w:rsidP="00345587">
      <w:pPr>
        <w:jc w:val="both"/>
        <w:rPr>
          <w:b/>
          <w:sz w:val="24"/>
          <w:szCs w:val="24"/>
          <w:lang w:val="hr-HR"/>
        </w:rPr>
      </w:pPr>
    </w:p>
    <w:p w:rsidR="005472A2" w:rsidRDefault="005472A2" w:rsidP="005472A2">
      <w:pPr>
        <w:jc w:val="both"/>
        <w:rPr>
          <w:sz w:val="24"/>
          <w:szCs w:val="24"/>
          <w:lang w:val="hr-HR"/>
        </w:rPr>
      </w:pPr>
      <w:r w:rsidRPr="00754F26">
        <w:rPr>
          <w:sz w:val="24"/>
          <w:szCs w:val="24"/>
          <w:lang w:val="hr-HR"/>
        </w:rPr>
        <w:t>Analiza potrošnje po</w:t>
      </w:r>
      <w:r>
        <w:rPr>
          <w:sz w:val="24"/>
          <w:szCs w:val="24"/>
          <w:lang w:val="hr-HR"/>
        </w:rPr>
        <w:t xml:space="preserve"> sektorima pokazuje da je </w:t>
      </w:r>
      <w:r w:rsidR="007B4781">
        <w:rPr>
          <w:sz w:val="24"/>
          <w:szCs w:val="24"/>
          <w:lang w:val="hr-HR"/>
        </w:rPr>
        <w:t xml:space="preserve">po zahtjevima budžetskih korisnika </w:t>
      </w:r>
      <w:r>
        <w:rPr>
          <w:sz w:val="24"/>
          <w:szCs w:val="24"/>
          <w:lang w:val="hr-HR"/>
        </w:rPr>
        <w:t>u 202</w:t>
      </w:r>
      <w:r w:rsidR="00134F74">
        <w:rPr>
          <w:sz w:val="24"/>
          <w:szCs w:val="24"/>
          <w:lang w:val="hr-HR"/>
        </w:rPr>
        <w:t>1</w:t>
      </w:r>
      <w:r>
        <w:rPr>
          <w:sz w:val="24"/>
          <w:szCs w:val="24"/>
          <w:lang w:val="hr-HR"/>
        </w:rPr>
        <w:t>. godini planirano 11</w:t>
      </w:r>
      <w:r w:rsidR="00134F74">
        <w:rPr>
          <w:sz w:val="24"/>
          <w:szCs w:val="24"/>
          <w:lang w:val="hr-HR"/>
        </w:rPr>
        <w:t>1</w:t>
      </w:r>
      <w:r>
        <w:rPr>
          <w:sz w:val="24"/>
          <w:szCs w:val="24"/>
          <w:lang w:val="hr-HR"/>
        </w:rPr>
        <w:t>,</w:t>
      </w:r>
      <w:r w:rsidR="00134F74">
        <w:rPr>
          <w:sz w:val="24"/>
          <w:szCs w:val="24"/>
          <w:lang w:val="hr-HR"/>
        </w:rPr>
        <w:t>57</w:t>
      </w:r>
      <w:r>
        <w:rPr>
          <w:sz w:val="24"/>
          <w:szCs w:val="24"/>
          <w:lang w:val="hr-HR"/>
        </w:rPr>
        <w:t xml:space="preserve"> mil. KM  u sektoru obrazovanje. U sektor javni red i sigurnost kojeg čine MUP i sudovi planira se izdvojiti </w:t>
      </w:r>
      <w:r w:rsidR="00134F74">
        <w:rPr>
          <w:sz w:val="24"/>
          <w:szCs w:val="24"/>
          <w:lang w:val="hr-HR"/>
        </w:rPr>
        <w:t>64,85</w:t>
      </w:r>
      <w:r>
        <w:rPr>
          <w:sz w:val="24"/>
          <w:szCs w:val="24"/>
          <w:lang w:val="hr-HR"/>
        </w:rPr>
        <w:t xml:space="preserve"> mil. KM, ukupnog budžeta. Sektor ekonomski poslovi čini  </w:t>
      </w:r>
      <w:r w:rsidR="00912A77">
        <w:rPr>
          <w:sz w:val="24"/>
          <w:szCs w:val="24"/>
          <w:lang w:val="hr-HR"/>
        </w:rPr>
        <w:t>2</w:t>
      </w:r>
      <w:r w:rsidR="00134F74">
        <w:rPr>
          <w:sz w:val="24"/>
          <w:szCs w:val="24"/>
          <w:lang w:val="hr-HR"/>
        </w:rPr>
        <w:t>2</w:t>
      </w:r>
      <w:r>
        <w:rPr>
          <w:sz w:val="24"/>
          <w:szCs w:val="24"/>
          <w:lang w:val="hr-HR"/>
        </w:rPr>
        <w:t>,</w:t>
      </w:r>
      <w:r w:rsidR="00134F74">
        <w:rPr>
          <w:sz w:val="24"/>
          <w:szCs w:val="24"/>
          <w:lang w:val="hr-HR"/>
        </w:rPr>
        <w:t>62</w:t>
      </w:r>
      <w:r>
        <w:rPr>
          <w:sz w:val="24"/>
          <w:szCs w:val="24"/>
          <w:lang w:val="hr-HR"/>
        </w:rPr>
        <w:t xml:space="preserve"> mil. KM, a odnosi se na ulaganja u poljoprivredu i privredu kantona.Socijalna zaštita unutar koje je ministarstvo za zdravstvo i socijalnu politiku i ministarstvo za pitanja boraca i ratnih vojnih invalida čine </w:t>
      </w:r>
      <w:r w:rsidR="005C06B3">
        <w:rPr>
          <w:sz w:val="24"/>
          <w:szCs w:val="24"/>
          <w:lang w:val="hr-HR"/>
        </w:rPr>
        <w:t>3</w:t>
      </w:r>
      <w:r w:rsidR="00134F74">
        <w:rPr>
          <w:sz w:val="24"/>
          <w:szCs w:val="24"/>
          <w:lang w:val="hr-HR"/>
        </w:rPr>
        <w:t>0</w:t>
      </w:r>
      <w:r w:rsidR="005C06B3">
        <w:rPr>
          <w:sz w:val="24"/>
          <w:szCs w:val="24"/>
          <w:lang w:val="hr-HR"/>
        </w:rPr>
        <w:t>,</w:t>
      </w:r>
      <w:r w:rsidR="00134F74">
        <w:rPr>
          <w:sz w:val="24"/>
          <w:szCs w:val="24"/>
          <w:lang w:val="hr-HR"/>
        </w:rPr>
        <w:t>69</w:t>
      </w:r>
      <w:r>
        <w:rPr>
          <w:sz w:val="24"/>
          <w:szCs w:val="24"/>
          <w:lang w:val="hr-HR"/>
        </w:rPr>
        <w:t xml:space="preserve"> mil. KM. </w:t>
      </w:r>
    </w:p>
    <w:p w:rsidR="005472A2" w:rsidRDefault="005472A2" w:rsidP="005472A2">
      <w:pPr>
        <w:jc w:val="both"/>
        <w:rPr>
          <w:sz w:val="24"/>
          <w:szCs w:val="24"/>
          <w:lang w:val="hr-HR"/>
        </w:rPr>
      </w:pPr>
      <w:r>
        <w:rPr>
          <w:sz w:val="24"/>
          <w:szCs w:val="24"/>
          <w:lang w:val="hr-HR"/>
        </w:rPr>
        <w:t xml:space="preserve">          Sektor opće javne usluge u koje ubrajamo: izvršne i zakonodavne organe, financijski poslovi, opšte kadrovske usluge i ostala potrošnja  čine</w:t>
      </w:r>
      <w:r w:rsidR="00912A77">
        <w:rPr>
          <w:sz w:val="24"/>
          <w:szCs w:val="24"/>
          <w:lang w:val="hr-HR"/>
        </w:rPr>
        <w:t xml:space="preserve"> </w:t>
      </w:r>
      <w:r w:rsidR="00134F74">
        <w:rPr>
          <w:sz w:val="24"/>
          <w:szCs w:val="24"/>
          <w:lang w:val="hr-HR"/>
        </w:rPr>
        <w:t>23,36</w:t>
      </w:r>
      <w:r>
        <w:rPr>
          <w:sz w:val="24"/>
          <w:szCs w:val="24"/>
          <w:lang w:val="hr-HR"/>
        </w:rPr>
        <w:t xml:space="preserve"> mil.KM budžeta.</w:t>
      </w:r>
    </w:p>
    <w:p w:rsidR="005472A2" w:rsidRDefault="005472A2" w:rsidP="005472A2">
      <w:pPr>
        <w:rPr>
          <w:b/>
          <w:bCs/>
          <w:sz w:val="24"/>
          <w:szCs w:val="24"/>
          <w:u w:val="single"/>
          <w:lang w:eastAsia="hr-BA"/>
        </w:rPr>
      </w:pPr>
    </w:p>
    <w:p w:rsidR="005472A2" w:rsidRDefault="005472A2" w:rsidP="00345587">
      <w:pPr>
        <w:jc w:val="both"/>
        <w:rPr>
          <w:b/>
          <w:sz w:val="24"/>
          <w:szCs w:val="24"/>
          <w:lang w:val="hr-HR"/>
        </w:rPr>
      </w:pPr>
    </w:p>
    <w:p w:rsidR="0044702C" w:rsidRDefault="0044702C" w:rsidP="00345587">
      <w:pPr>
        <w:jc w:val="both"/>
        <w:rPr>
          <w:b/>
          <w:sz w:val="24"/>
          <w:szCs w:val="24"/>
          <w:lang w:val="hr-HR"/>
        </w:rPr>
      </w:pPr>
    </w:p>
    <w:p w:rsidR="002D0606" w:rsidRDefault="002D0606" w:rsidP="0029375A">
      <w:pPr>
        <w:jc w:val="both"/>
        <w:rPr>
          <w:sz w:val="24"/>
          <w:szCs w:val="24"/>
          <w:lang w:val="hr-HR"/>
        </w:rPr>
      </w:pPr>
    </w:p>
    <w:p w:rsidR="001D3F67" w:rsidRDefault="001D3F67" w:rsidP="0029375A">
      <w:pPr>
        <w:jc w:val="both"/>
        <w:rPr>
          <w:sz w:val="24"/>
          <w:szCs w:val="24"/>
          <w:lang w:val="hr-HR"/>
        </w:rPr>
      </w:pPr>
    </w:p>
    <w:p w:rsidR="001D3F67" w:rsidRDefault="001D3F67" w:rsidP="0029375A">
      <w:pPr>
        <w:jc w:val="both"/>
        <w:rPr>
          <w:sz w:val="24"/>
          <w:szCs w:val="24"/>
          <w:lang w:val="hr-HR"/>
        </w:rPr>
      </w:pPr>
    </w:p>
    <w:p w:rsidR="003B7CD9" w:rsidRDefault="003B7CD9" w:rsidP="003B7CD9">
      <w:pPr>
        <w:ind w:left="360"/>
        <w:jc w:val="both"/>
        <w:rPr>
          <w:b/>
          <w:bCs/>
          <w:sz w:val="24"/>
          <w:szCs w:val="24"/>
        </w:rPr>
      </w:pPr>
      <w:bookmarkStart w:id="87" w:name="_Toc422899939"/>
      <w:r>
        <w:rPr>
          <w:b/>
          <w:bCs/>
          <w:sz w:val="24"/>
          <w:szCs w:val="24"/>
        </w:rPr>
        <w:t>4.</w:t>
      </w:r>
      <w:r w:rsidR="00B51007" w:rsidRPr="00ED5C99">
        <w:rPr>
          <w:b/>
          <w:bCs/>
          <w:sz w:val="24"/>
          <w:szCs w:val="24"/>
        </w:rPr>
        <w:t>BUDŽETSKI</w:t>
      </w:r>
      <w:r w:rsidR="00ED5C99">
        <w:rPr>
          <w:b/>
          <w:bCs/>
          <w:sz w:val="24"/>
          <w:szCs w:val="24"/>
        </w:rPr>
        <w:t xml:space="preserve"> PRIORITETI za period 2021-2023</w:t>
      </w:r>
      <w:r>
        <w:rPr>
          <w:b/>
          <w:bCs/>
          <w:sz w:val="24"/>
          <w:szCs w:val="24"/>
        </w:rPr>
        <w:t>. godina</w:t>
      </w:r>
    </w:p>
    <w:p w:rsidR="003B7CD9" w:rsidRPr="003B7CD9" w:rsidRDefault="003B7CD9" w:rsidP="003B7CD9">
      <w:pPr>
        <w:ind w:left="360"/>
        <w:jc w:val="both"/>
        <w:rPr>
          <w:sz w:val="24"/>
          <w:szCs w:val="24"/>
          <w:lang w:val="hr-HR"/>
        </w:rPr>
      </w:pPr>
    </w:p>
    <w:p w:rsidR="00C72980" w:rsidRDefault="003B7CD9" w:rsidP="003B7CD9">
      <w:pPr>
        <w:ind w:left="360"/>
        <w:jc w:val="both"/>
        <w:rPr>
          <w:b/>
          <w:bCs/>
          <w:sz w:val="24"/>
          <w:szCs w:val="24"/>
          <w:lang w:val="hr-HR"/>
        </w:rPr>
      </w:pPr>
      <w:r>
        <w:rPr>
          <w:b/>
          <w:bCs/>
          <w:sz w:val="24"/>
          <w:szCs w:val="24"/>
        </w:rPr>
        <w:t>4.1</w:t>
      </w:r>
      <w:r w:rsidR="00B51007" w:rsidRPr="00ED5C99">
        <w:rPr>
          <w:b/>
          <w:bCs/>
          <w:sz w:val="24"/>
          <w:szCs w:val="24"/>
        </w:rPr>
        <w:t xml:space="preserve"> </w:t>
      </w:r>
      <w:r>
        <w:rPr>
          <w:b/>
          <w:bCs/>
          <w:sz w:val="24"/>
          <w:szCs w:val="24"/>
        </w:rPr>
        <w:t>Pregled prioriteta budžetskih korisnika U</w:t>
      </w:r>
      <w:r w:rsidRPr="00ED5C99">
        <w:rPr>
          <w:b/>
          <w:bCs/>
          <w:sz w:val="24"/>
          <w:szCs w:val="24"/>
        </w:rPr>
        <w:t>nsko – sanskog kanton</w:t>
      </w:r>
      <w:bookmarkEnd w:id="87"/>
      <w:r w:rsidRPr="00ED5C99">
        <w:rPr>
          <w:b/>
          <w:bCs/>
          <w:sz w:val="24"/>
          <w:szCs w:val="24"/>
          <w:lang w:val="hr-HR"/>
        </w:rPr>
        <w:t xml:space="preserve">   </w:t>
      </w:r>
    </w:p>
    <w:p w:rsidR="00ED5C99" w:rsidRPr="00ED5C99" w:rsidRDefault="00ED5C99" w:rsidP="00ED5C99">
      <w:pPr>
        <w:ind w:left="360"/>
        <w:jc w:val="both"/>
        <w:rPr>
          <w:b/>
          <w:bCs/>
          <w:sz w:val="24"/>
          <w:szCs w:val="24"/>
          <w:lang w:val="hr-HR"/>
        </w:rPr>
      </w:pPr>
    </w:p>
    <w:p w:rsidR="00C72980" w:rsidRPr="008142A2" w:rsidRDefault="00C72980" w:rsidP="00C72980">
      <w:pPr>
        <w:jc w:val="both"/>
        <w:rPr>
          <w:sz w:val="24"/>
          <w:szCs w:val="24"/>
          <w:lang w:val="hr-HR"/>
        </w:rPr>
      </w:pPr>
      <w:r>
        <w:rPr>
          <w:sz w:val="24"/>
          <w:szCs w:val="24"/>
          <w:lang w:val="hr-HR"/>
        </w:rPr>
        <w:t xml:space="preserve"> </w:t>
      </w:r>
      <w:r w:rsidR="00B6372D">
        <w:rPr>
          <w:sz w:val="24"/>
          <w:szCs w:val="24"/>
          <w:lang w:val="hr-HR"/>
        </w:rPr>
        <w:tab/>
      </w:r>
      <w:r w:rsidRPr="001B11FF">
        <w:rPr>
          <w:sz w:val="24"/>
          <w:szCs w:val="24"/>
          <w:lang w:val="hr-HR"/>
        </w:rPr>
        <w:t xml:space="preserve">U </w:t>
      </w:r>
      <w:r>
        <w:rPr>
          <w:sz w:val="24"/>
          <w:szCs w:val="24"/>
          <w:lang w:val="hr-HR"/>
        </w:rPr>
        <w:t xml:space="preserve"> skladu sa ciljevima ekonomskih i društvenih politika, budžetski korisnici  Unsko – sanskog kantona su pripremili prijedlog</w:t>
      </w:r>
      <w:r w:rsidR="00B6372D">
        <w:rPr>
          <w:sz w:val="24"/>
          <w:szCs w:val="24"/>
          <w:lang w:val="hr-HR"/>
        </w:rPr>
        <w:t>e visokoprioritetne potrošnje (</w:t>
      </w:r>
      <w:r>
        <w:rPr>
          <w:sz w:val="24"/>
          <w:szCs w:val="24"/>
          <w:lang w:val="hr-HR"/>
        </w:rPr>
        <w:t>za postojeće i nove programe/aktivnosti, uključujući i incijative iz Programa javnih ulaganja), kao i moguće uštede/opcije smanjenja za programe nižeg prioriteta ili one koji ne daju adekvatne rezultate, kako bi se ti resursi preusmjerili na  incijative višeg prioriteta.</w:t>
      </w:r>
    </w:p>
    <w:p w:rsidR="00C72980" w:rsidRDefault="00C72980" w:rsidP="00C72980">
      <w:pPr>
        <w:jc w:val="both"/>
        <w:rPr>
          <w:sz w:val="24"/>
          <w:szCs w:val="24"/>
          <w:lang w:val="hr-HR"/>
        </w:rPr>
      </w:pPr>
      <w:r>
        <w:rPr>
          <w:sz w:val="24"/>
          <w:szCs w:val="24"/>
          <w:lang w:val="hr-HR"/>
        </w:rPr>
        <w:t xml:space="preserve">         Na osnovu unešenih podataka dobivenih od budžetskih korisnika, ukupni budžetski zahtjevi </w:t>
      </w:r>
      <w:r w:rsidRPr="00012E74">
        <w:rPr>
          <w:sz w:val="24"/>
          <w:szCs w:val="24"/>
          <w:lang w:val="hr-HR"/>
        </w:rPr>
        <w:t>za 20</w:t>
      </w:r>
      <w:r w:rsidR="00D9321F">
        <w:rPr>
          <w:sz w:val="24"/>
          <w:szCs w:val="24"/>
          <w:lang w:val="hr-HR"/>
        </w:rPr>
        <w:t>2</w:t>
      </w:r>
      <w:r w:rsidR="002C3239">
        <w:rPr>
          <w:sz w:val="24"/>
          <w:szCs w:val="24"/>
          <w:lang w:val="hr-HR"/>
        </w:rPr>
        <w:t>1</w:t>
      </w:r>
      <w:r w:rsidR="00B6372D">
        <w:rPr>
          <w:sz w:val="24"/>
          <w:szCs w:val="24"/>
          <w:lang w:val="hr-HR"/>
        </w:rPr>
        <w:t xml:space="preserve">. godinu iznose </w:t>
      </w:r>
      <w:r w:rsidR="00D9321F">
        <w:rPr>
          <w:sz w:val="24"/>
          <w:szCs w:val="24"/>
          <w:lang w:val="hr-HR"/>
        </w:rPr>
        <w:t>2</w:t>
      </w:r>
      <w:r w:rsidR="002C3239">
        <w:rPr>
          <w:sz w:val="24"/>
          <w:szCs w:val="24"/>
          <w:lang w:val="hr-HR"/>
        </w:rPr>
        <w:t>53</w:t>
      </w:r>
      <w:r w:rsidR="00D9321F">
        <w:rPr>
          <w:sz w:val="24"/>
          <w:szCs w:val="24"/>
          <w:lang w:val="hr-HR"/>
        </w:rPr>
        <w:t>,</w:t>
      </w:r>
      <w:r w:rsidR="002C3239">
        <w:rPr>
          <w:sz w:val="24"/>
          <w:szCs w:val="24"/>
          <w:lang w:val="hr-HR"/>
        </w:rPr>
        <w:t>10</w:t>
      </w:r>
      <w:r w:rsidRPr="00012E74">
        <w:rPr>
          <w:sz w:val="24"/>
          <w:szCs w:val="24"/>
          <w:lang w:val="hr-HR"/>
        </w:rPr>
        <w:t xml:space="preserve"> mil KM.</w:t>
      </w:r>
      <w:r>
        <w:rPr>
          <w:sz w:val="24"/>
          <w:szCs w:val="24"/>
          <w:lang w:val="hr-HR"/>
        </w:rPr>
        <w:t xml:space="preserve"> KM što je za </w:t>
      </w:r>
      <w:r w:rsidR="002C3239">
        <w:rPr>
          <w:sz w:val="24"/>
          <w:szCs w:val="24"/>
          <w:lang w:val="hr-HR"/>
        </w:rPr>
        <w:t>19</w:t>
      </w:r>
      <w:r w:rsidR="00D9321F">
        <w:rPr>
          <w:sz w:val="24"/>
          <w:szCs w:val="24"/>
          <w:lang w:val="hr-HR"/>
        </w:rPr>
        <w:t>,</w:t>
      </w:r>
      <w:r w:rsidR="002C3239">
        <w:rPr>
          <w:sz w:val="24"/>
          <w:szCs w:val="24"/>
          <w:lang w:val="hr-HR"/>
        </w:rPr>
        <w:t>87</w:t>
      </w:r>
      <w:r>
        <w:rPr>
          <w:sz w:val="24"/>
          <w:szCs w:val="24"/>
          <w:lang w:val="hr-HR"/>
        </w:rPr>
        <w:t xml:space="preserve"> mil KM više u odnosu na Budžet 20</w:t>
      </w:r>
      <w:r w:rsidR="002C3239">
        <w:rPr>
          <w:sz w:val="24"/>
          <w:szCs w:val="24"/>
          <w:lang w:val="hr-HR"/>
        </w:rPr>
        <w:t>20</w:t>
      </w:r>
      <w:r>
        <w:rPr>
          <w:sz w:val="24"/>
          <w:szCs w:val="24"/>
          <w:lang w:val="hr-HR"/>
        </w:rPr>
        <w:t>. godine.</w:t>
      </w:r>
    </w:p>
    <w:p w:rsidR="00C72980" w:rsidRDefault="00C72980" w:rsidP="00C72980">
      <w:pPr>
        <w:jc w:val="both"/>
        <w:rPr>
          <w:sz w:val="24"/>
          <w:szCs w:val="24"/>
        </w:rPr>
      </w:pPr>
      <w:r>
        <w:rPr>
          <w:sz w:val="24"/>
          <w:szCs w:val="24"/>
          <w:lang w:val="hr-HR"/>
        </w:rPr>
        <w:t xml:space="preserve">   </w:t>
      </w:r>
      <w:r w:rsidR="00BD62F3">
        <w:rPr>
          <w:sz w:val="24"/>
          <w:szCs w:val="24"/>
        </w:rPr>
        <w:tab/>
      </w:r>
      <w:r w:rsidRPr="005F7063">
        <w:rPr>
          <w:sz w:val="24"/>
          <w:szCs w:val="24"/>
        </w:rPr>
        <w:t>Analizom dostavljenih budžetskih</w:t>
      </w:r>
      <w:r>
        <w:rPr>
          <w:sz w:val="24"/>
          <w:szCs w:val="24"/>
        </w:rPr>
        <w:t xml:space="preserve"> instrukcija za DOB </w:t>
      </w:r>
      <w:r w:rsidR="00174846">
        <w:rPr>
          <w:sz w:val="24"/>
          <w:szCs w:val="24"/>
        </w:rPr>
        <w:t>2</w:t>
      </w:r>
      <w:r>
        <w:rPr>
          <w:sz w:val="24"/>
          <w:szCs w:val="24"/>
        </w:rPr>
        <w:t>0</w:t>
      </w:r>
      <w:r w:rsidR="00D9321F">
        <w:rPr>
          <w:sz w:val="24"/>
          <w:szCs w:val="24"/>
        </w:rPr>
        <w:t>2</w:t>
      </w:r>
      <w:r w:rsidR="002C3239">
        <w:rPr>
          <w:sz w:val="24"/>
          <w:szCs w:val="24"/>
        </w:rPr>
        <w:t>1</w:t>
      </w:r>
      <w:r w:rsidR="00174846">
        <w:rPr>
          <w:sz w:val="24"/>
          <w:szCs w:val="24"/>
        </w:rPr>
        <w:t>.</w:t>
      </w:r>
      <w:r>
        <w:rPr>
          <w:sz w:val="24"/>
          <w:szCs w:val="24"/>
        </w:rPr>
        <w:t>-20</w:t>
      </w:r>
      <w:r w:rsidR="00D9321F">
        <w:rPr>
          <w:sz w:val="24"/>
          <w:szCs w:val="24"/>
        </w:rPr>
        <w:t>2</w:t>
      </w:r>
      <w:r w:rsidR="002C3239">
        <w:rPr>
          <w:sz w:val="24"/>
          <w:szCs w:val="24"/>
        </w:rPr>
        <w:t>3</w:t>
      </w:r>
      <w:r w:rsidR="00174846">
        <w:rPr>
          <w:sz w:val="24"/>
          <w:szCs w:val="24"/>
        </w:rPr>
        <w:t>.</w:t>
      </w:r>
      <w:r w:rsidRPr="005F7063">
        <w:rPr>
          <w:sz w:val="24"/>
          <w:szCs w:val="24"/>
        </w:rPr>
        <w:t xml:space="preserve"> od budžetsk</w:t>
      </w:r>
      <w:r>
        <w:rPr>
          <w:sz w:val="24"/>
          <w:szCs w:val="24"/>
        </w:rPr>
        <w:t>ih</w:t>
      </w:r>
      <w:r w:rsidRPr="005F7063">
        <w:rPr>
          <w:sz w:val="24"/>
          <w:szCs w:val="24"/>
        </w:rPr>
        <w:t xml:space="preserve"> korisnika, utvrđene su  slijedeće činjenice:</w:t>
      </w:r>
    </w:p>
    <w:p w:rsidR="00C72980" w:rsidRDefault="00C72980" w:rsidP="00887C88">
      <w:pPr>
        <w:pStyle w:val="BodyText2Char"/>
        <w:numPr>
          <w:ilvl w:val="0"/>
          <w:numId w:val="6"/>
        </w:numPr>
        <w:jc w:val="both"/>
        <w:rPr>
          <w:sz w:val="24"/>
          <w:szCs w:val="24"/>
        </w:rPr>
      </w:pPr>
      <w:r w:rsidRPr="00861B79">
        <w:rPr>
          <w:sz w:val="24"/>
          <w:szCs w:val="24"/>
        </w:rPr>
        <w:t xml:space="preserve">Uglavnom su dostavljeni </w:t>
      </w:r>
      <w:r>
        <w:rPr>
          <w:sz w:val="24"/>
          <w:szCs w:val="24"/>
        </w:rPr>
        <w:t>zahtjevi</w:t>
      </w:r>
      <w:r w:rsidRPr="00861B79">
        <w:rPr>
          <w:sz w:val="24"/>
          <w:szCs w:val="24"/>
        </w:rPr>
        <w:t xml:space="preserve"> </w:t>
      </w:r>
      <w:r>
        <w:rPr>
          <w:sz w:val="24"/>
          <w:szCs w:val="24"/>
        </w:rPr>
        <w:t xml:space="preserve">izraženi kroz ekonomsku klasifikaciju sa naznakom potrebnog iznosa sredstava, bez detaljne “cost- benefit “ analize. Izlazni, krajnji rezultati i mjere učinka navedenih programa nisu dovoljno obrazloženi, te se na osnovu istog ne mogu ocijeniti prioriteti, </w:t>
      </w:r>
    </w:p>
    <w:p w:rsidR="00C72980" w:rsidRDefault="00C72980" w:rsidP="00887C88">
      <w:pPr>
        <w:pStyle w:val="BodyText2Char"/>
        <w:numPr>
          <w:ilvl w:val="0"/>
          <w:numId w:val="6"/>
        </w:numPr>
        <w:jc w:val="both"/>
        <w:rPr>
          <w:sz w:val="24"/>
          <w:szCs w:val="24"/>
        </w:rPr>
      </w:pPr>
      <w:r>
        <w:rPr>
          <w:sz w:val="24"/>
          <w:szCs w:val="24"/>
        </w:rPr>
        <w:t>nema predloženih ušteda ( izuzev par zahtjeva ), već samo zahtjevi za dodatnom potrošnjom.</w:t>
      </w:r>
    </w:p>
    <w:p w:rsidR="00C72980" w:rsidRDefault="00C72980" w:rsidP="00C72980">
      <w:pPr>
        <w:pStyle w:val="BodyText2Char"/>
        <w:ind w:firstLine="696"/>
        <w:jc w:val="both"/>
        <w:rPr>
          <w:sz w:val="24"/>
          <w:szCs w:val="24"/>
        </w:rPr>
      </w:pPr>
      <w:r>
        <w:rPr>
          <w:sz w:val="24"/>
          <w:szCs w:val="24"/>
        </w:rPr>
        <w:t>U daljnjem tekstu dajemo  pregled dostavljenih budžetskih instrukcija od strane korisnika prikazanu kroz funkcionalnu klasifikaciju (sektore):</w:t>
      </w:r>
    </w:p>
    <w:p w:rsidR="00203F3A" w:rsidRDefault="00203F3A" w:rsidP="00203F3A">
      <w:pPr>
        <w:pStyle w:val="BodyText2Char"/>
        <w:jc w:val="both"/>
        <w:rPr>
          <w:sz w:val="24"/>
          <w:szCs w:val="24"/>
        </w:rPr>
      </w:pPr>
    </w:p>
    <w:tbl>
      <w:tblPr>
        <w:tblW w:w="11199" w:type="dxa"/>
        <w:tblInd w:w="-885" w:type="dxa"/>
        <w:tblLook w:val="04A0"/>
      </w:tblPr>
      <w:tblGrid>
        <w:gridCol w:w="3252"/>
        <w:gridCol w:w="1106"/>
        <w:gridCol w:w="1288"/>
        <w:gridCol w:w="1106"/>
        <w:gridCol w:w="928"/>
        <w:gridCol w:w="1097"/>
        <w:gridCol w:w="1106"/>
        <w:gridCol w:w="1316"/>
      </w:tblGrid>
      <w:tr w:rsidR="00203F3A" w:rsidRPr="00203F3A" w:rsidTr="002C3239">
        <w:trPr>
          <w:trHeight w:val="900"/>
        </w:trPr>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03F3A" w:rsidRPr="00203F3A" w:rsidRDefault="00203F3A" w:rsidP="00203F3A">
            <w:pPr>
              <w:jc w:val="cente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Naziv budžetskog korisnika i programa</w:t>
            </w:r>
          </w:p>
        </w:tc>
        <w:tc>
          <w:tcPr>
            <w:tcW w:w="1106" w:type="dxa"/>
            <w:tcBorders>
              <w:top w:val="single" w:sz="4" w:space="0" w:color="000000"/>
              <w:left w:val="nil"/>
              <w:bottom w:val="single" w:sz="4" w:space="0" w:color="000000"/>
              <w:right w:val="single" w:sz="4" w:space="0" w:color="000000"/>
            </w:tcBorders>
            <w:shd w:val="clear" w:color="auto" w:fill="auto"/>
            <w:vAlign w:val="center"/>
            <w:hideMark/>
          </w:tcPr>
          <w:p w:rsidR="00203F3A" w:rsidRPr="00203F3A" w:rsidRDefault="00203F3A" w:rsidP="00203F3A">
            <w:pPr>
              <w:jc w:val="cente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DOB/USK 2020-2023</w:t>
            </w:r>
          </w:p>
        </w:tc>
        <w:tc>
          <w:tcPr>
            <w:tcW w:w="1288" w:type="dxa"/>
            <w:tcBorders>
              <w:top w:val="single" w:sz="4" w:space="0" w:color="000000"/>
              <w:left w:val="nil"/>
              <w:bottom w:val="single" w:sz="4" w:space="0" w:color="000000"/>
              <w:right w:val="single" w:sz="4" w:space="0" w:color="000000"/>
            </w:tcBorders>
            <w:shd w:val="clear" w:color="auto" w:fill="auto"/>
            <w:vAlign w:val="center"/>
            <w:hideMark/>
          </w:tcPr>
          <w:p w:rsidR="00203F3A" w:rsidRPr="00203F3A" w:rsidRDefault="00203F3A" w:rsidP="00203F3A">
            <w:pPr>
              <w:jc w:val="cente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DOB/USK 2021-2023</w:t>
            </w:r>
          </w:p>
        </w:tc>
        <w:tc>
          <w:tcPr>
            <w:tcW w:w="1106" w:type="dxa"/>
            <w:tcBorders>
              <w:top w:val="single" w:sz="4" w:space="0" w:color="000000"/>
              <w:left w:val="nil"/>
              <w:bottom w:val="single" w:sz="4" w:space="0" w:color="000000"/>
              <w:right w:val="single" w:sz="4" w:space="0" w:color="000000"/>
            </w:tcBorders>
            <w:shd w:val="clear" w:color="auto" w:fill="auto"/>
            <w:vAlign w:val="center"/>
            <w:hideMark/>
          </w:tcPr>
          <w:p w:rsidR="00203F3A" w:rsidRPr="00203F3A" w:rsidRDefault="00203F3A" w:rsidP="00203F3A">
            <w:pPr>
              <w:jc w:val="cente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Izvor 10</w:t>
            </w:r>
            <w:r w:rsidRPr="00203F3A">
              <w:rPr>
                <w:rFonts w:ascii="Arial" w:hAnsi="Arial" w:cs="Arial"/>
                <w:b/>
                <w:bCs/>
                <w:color w:val="000000"/>
                <w:sz w:val="16"/>
                <w:szCs w:val="16"/>
                <w:lang w:val="hr-HR" w:eastAsia="hr-HR"/>
              </w:rPr>
              <w:br/>
              <w:t>(budžetska sredstva)</w:t>
            </w:r>
          </w:p>
        </w:tc>
        <w:tc>
          <w:tcPr>
            <w:tcW w:w="928" w:type="dxa"/>
            <w:tcBorders>
              <w:top w:val="single" w:sz="4" w:space="0" w:color="000000"/>
              <w:left w:val="nil"/>
              <w:bottom w:val="single" w:sz="4" w:space="0" w:color="000000"/>
              <w:right w:val="single" w:sz="4" w:space="0" w:color="000000"/>
            </w:tcBorders>
            <w:shd w:val="clear" w:color="auto" w:fill="auto"/>
            <w:vAlign w:val="center"/>
            <w:hideMark/>
          </w:tcPr>
          <w:p w:rsidR="00203F3A" w:rsidRPr="00203F3A" w:rsidRDefault="00203F3A" w:rsidP="00203F3A">
            <w:pPr>
              <w:jc w:val="cente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Izvor 20</w:t>
            </w:r>
            <w:r w:rsidRPr="00203F3A">
              <w:rPr>
                <w:rFonts w:ascii="Arial" w:hAnsi="Arial" w:cs="Arial"/>
                <w:b/>
                <w:bCs/>
                <w:color w:val="000000"/>
                <w:sz w:val="16"/>
                <w:szCs w:val="16"/>
                <w:lang w:val="hr-HR" w:eastAsia="hr-HR"/>
              </w:rPr>
              <w:br/>
              <w:t>(vlastiti)</w:t>
            </w:r>
          </w:p>
        </w:tc>
        <w:tc>
          <w:tcPr>
            <w:tcW w:w="1097" w:type="dxa"/>
            <w:tcBorders>
              <w:top w:val="single" w:sz="4" w:space="0" w:color="000000"/>
              <w:left w:val="nil"/>
              <w:bottom w:val="single" w:sz="4" w:space="0" w:color="000000"/>
              <w:right w:val="single" w:sz="4" w:space="0" w:color="000000"/>
            </w:tcBorders>
            <w:shd w:val="clear" w:color="auto" w:fill="auto"/>
            <w:vAlign w:val="center"/>
            <w:hideMark/>
          </w:tcPr>
          <w:p w:rsidR="00203F3A" w:rsidRPr="00203F3A" w:rsidRDefault="00203F3A" w:rsidP="00203F3A">
            <w:pPr>
              <w:jc w:val="cente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Izvor 30</w:t>
            </w:r>
            <w:r w:rsidRPr="00203F3A">
              <w:rPr>
                <w:rFonts w:ascii="Arial" w:hAnsi="Arial" w:cs="Arial"/>
                <w:b/>
                <w:bCs/>
                <w:color w:val="000000"/>
                <w:sz w:val="16"/>
                <w:szCs w:val="16"/>
                <w:lang w:val="hr-HR" w:eastAsia="hr-HR"/>
              </w:rPr>
              <w:br/>
              <w:t>(namjenska sredstva)</w:t>
            </w:r>
          </w:p>
        </w:tc>
        <w:tc>
          <w:tcPr>
            <w:tcW w:w="1106" w:type="dxa"/>
            <w:tcBorders>
              <w:top w:val="single" w:sz="4" w:space="0" w:color="000000"/>
              <w:left w:val="nil"/>
              <w:bottom w:val="single" w:sz="4" w:space="0" w:color="000000"/>
              <w:right w:val="single" w:sz="4" w:space="0" w:color="000000"/>
            </w:tcBorders>
            <w:shd w:val="clear" w:color="auto" w:fill="auto"/>
            <w:vAlign w:val="center"/>
            <w:hideMark/>
          </w:tcPr>
          <w:p w:rsidR="00203F3A" w:rsidRPr="00203F3A" w:rsidRDefault="00203F3A" w:rsidP="00203F3A">
            <w:pPr>
              <w:jc w:val="cente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DOB/USK 2022-2023</w:t>
            </w:r>
          </w:p>
        </w:tc>
        <w:tc>
          <w:tcPr>
            <w:tcW w:w="1316" w:type="dxa"/>
            <w:tcBorders>
              <w:top w:val="single" w:sz="4" w:space="0" w:color="000000"/>
              <w:left w:val="nil"/>
              <w:bottom w:val="single" w:sz="4" w:space="0" w:color="000000"/>
              <w:right w:val="single" w:sz="4" w:space="0" w:color="000000"/>
            </w:tcBorders>
            <w:shd w:val="clear" w:color="auto" w:fill="auto"/>
            <w:vAlign w:val="center"/>
            <w:hideMark/>
          </w:tcPr>
          <w:p w:rsidR="00203F3A" w:rsidRPr="00203F3A" w:rsidRDefault="00203F3A" w:rsidP="00203F3A">
            <w:pPr>
              <w:jc w:val="cente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DOB/USK 2023-2023</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10010001  Skupština Unsko-Sanskog kantona Bihać</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1.859.124</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1.992.124</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1.992.124</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1.992.124</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1.992.124</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10010001-1 Skupština USK</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1.859.124</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1.992.124</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1.992.124</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1.992.124</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1.992.124</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10010002  Služba Skupštine Unsko Sanskog Kantona Bihać</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303.363</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372.161</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372.161</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372.161</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372.161</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10010002-1 Služba Skupštine USK</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303.363</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372.161</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372.161</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372.161</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372.161</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11010001  Vlada Unsko-Sanskog Kantona Bihać</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6.592.972</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6.515.388</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6.466.388</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49.000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6.417.388</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6.417.388</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11010001-1 Vlada Unsko/sanskog kantona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6.592.972</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6.515.388</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6.466.388</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49.000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6.417.388</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6.417.388</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11010002  Kabinet Premijera USK</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400.090</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404.038</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404.038</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404.038</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404.038</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11010002-1 Kabinet premijera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400.090</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404.038</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404.038</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404.038</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404.038</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11010003  Komisija za koncesije</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210.939</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224.739</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224.739</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224.739</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210.939</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11010003-1 Komisija za koncesije</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210.939</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224.739</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224.739</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224.739</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210.939</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11020001  Ured Vlade Unsko-Sanskog kantona Bihać</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186.134</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187.134</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187.134</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187.134</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187.134</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11020001-1 Ured Vlade USK-a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186.134</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187.134</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187.134</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187.134</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187.134</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11030001  Ured za zakonodavstvo Vlade USK-a</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121.129</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123.719</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123.719</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123.719</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123.719</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11030001-1 Ured za zakonodavstvo</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121.129</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123.719</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123.719</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123.719</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123.719</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12010001  Ministarstvo unutrašnjih poslova USK-a</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6.768.289</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7.596.320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6.137.370</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40.000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1.418.950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8.232.350</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8.727.970</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lastRenderedPageBreak/>
              <w:t>Program broj 12010001-1 Administracija i podrska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6.168.289</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7.146.320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5.687.370</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40.000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1.418.950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7.832.350</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8.377.970</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12010001-2 Izgradnja, rekonstrukcija  i nadogradnja zgrade MUP-a Velika Kladuša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250.000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250.000</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400.000</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350.000</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12010001-3 Izgradnja zgrade MUP-a PS Bužim i Odsjek za administraciju Bužim</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600.000</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200.000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200.000</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12020001  Uprava policije</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32.233.581</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36.837.409</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36.717.409</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120.000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37.110.243</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37.255.822</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12020001-1 Uniformisana policija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26.823.451</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30.808.309</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30.688.309</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120.000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30.812.748</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31.005.052</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12020001-2 Kriminalisticka policija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2.166.492</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2.575.230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2.575.230</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2.787.838</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2.709.090</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12020002-3 Administracija Uprave policije</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3.243.638</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3.453.870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3.453.870</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3.509.657</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3.541.680</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13010001  Ministarstvo pravosuđa i uprave</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903.428</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1.068.032</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1.056.282</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11.750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1.068.032</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1.068.032</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13010001-1 Ministarstvo pravosuđa i uprave</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903.428</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1.068.032</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1.056.282</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11.750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1.068.032</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1.068.032</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13020001  Kantonalni Sud Bihać</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2.853.820</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3.273.835</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3.273.835</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3.343.327</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3.323.327</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13020001-1 Kantonalni sud Bihac</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2.853.820</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3.273.835</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3.273.835</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3.343.327</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3.323.327</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13020002  Općinski Sud Bihać</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3.961.527</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4.078.823</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4.078.823</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4.078.823</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4.078.823</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13020002-1 Općinski sud Bihać</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3.961.527</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4.078.823</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4.078.823</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4.078.823</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4.078.823</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13020003  Općinski Sud Bosanska Krupa</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1.552.902</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1.681.349</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1.681.349</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1.681.349</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1.681.349</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13020003-1 Općinski sud Bosanska Krupa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1.552.902</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1.681.349</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1.681.349</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1.681.349</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1.681.349</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13020005  Općinski Sud Cazin</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2.086.982</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3.338.632</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3.338.632</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2.644.176</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2.747.562</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13020005-1 Općinski sud Cazin</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2.086.982</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3.338.632</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3.338.632</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2.644.176</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2.747.562</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13020007  Općinski Sud Sanski Most</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1.720.166</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2.024.243</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2.024.243</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1.984.243</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1.982.243</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13020007-1 Općinski sud Sanski Most</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1.720.166</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2.024.243</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2.024.243</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1.984.243</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1.982.243</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13020008  Općinski Sud Velika Kladuša</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1.531.384</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1.567.139</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1.567.139</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1.567.139</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1.567.139</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13020008-1 Općinski sud Velika Kladuša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1.531.384</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1.567.139</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1.567.139</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1.567.139</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1.567.139</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13040009  Kantonalno tužilaštvo USK-a Bihać</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3.848.824</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4.025.519</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4.025.519</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4.025.519</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4.025.519</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13040009-1 Tužilaštvo USK-a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3.848.824</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4.025.519</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4.025.519</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4.025.519</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4.025.519</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 xml:space="preserve">13050001  Kantonalno Pravobranilaštvo USK </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244.374</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242.915</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242.915</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242.915</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242.915</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13050001-1 Kantonalno pravobranilastvo USK-a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244.374</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242.915</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242.915</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242.915</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242.915</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13060001  Kantonalni Zavod za pružane besplatne pravne pomoći</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182.878</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188.341</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188.341</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188.341</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188.341</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13060001-1 Kantonalni zavod za pruzanje besplatne pravne pomoci</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182.878</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188.341</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188.341</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188.341</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188.341</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14010001  Ministarstvo Finansija Unsko-Sanskog Kantona</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4.454.697</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4.793.855</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4.793.855</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4.667.855</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4.257.856</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14010001-1 Program Ministarstva Finansija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4.454.697</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4.793.855</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4.793.855</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4.667.855</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4.257.856</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15010001  Ministarstvo privrede Unsko-Sanskog Kantona</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4.458.327</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4.149.454</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3.839.454</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10.000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300.000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4.019.454</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4.019.454</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15010001-1 Energetika, rudarstvo, industrija, poduzetništvo i obrt</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3.806.795</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3.462.395</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3.162.395</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300.000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3.462.395</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3.462.395</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15010001-2 Administracija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159.277</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159.277</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159.277</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159.277</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159.277</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15010001-3 Trgovina, turizam, ugostiteljstvo, promet i komunikacije</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492.255</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527.782</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517.782</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10.000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397.782</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397.782</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lastRenderedPageBreak/>
              <w:t>16010001  Ministarstvo za pitanje boraca i ratnih vojnih invalida</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5.269.069</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14.757.000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14.757.000</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14.907.350</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15.218.800</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16010001-1 Ministarstvo za pitanje boraca i ratnih vojnih invalida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5.269.069</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14.757.000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14.757.000</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14.907.350</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15.218.800</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17010001  Ministarstvo zdravstva, rada i socijalne politike</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16.525.781</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14.013.170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8.972.370</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40.800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5.000.000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14.316.160</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14.316.160</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17010001-1 Socijalna politika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11.757.381</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10.511.600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5.470.800</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40.800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5.000.000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10.511.600</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10.511.600</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17010001-2 Sektor zdravstva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4.768.400</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3.501.570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3.501.570</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3.804.560</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3.804.560</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17020001  JU Socijalno pedagoška životna zajednica Bihać</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1.475.500</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1.926.959</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1.924.959</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2.000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2.107.385</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2.318.904</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17020001-1 Socijalno pedagoška životna zajednica Bihać</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1.475.500</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1.926.959</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1.924.959</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2.000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2.107.385</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2.318.904</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18010001  Ministarstvo obrazovanja, nauke, kulture i sporta</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12.145.932</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13.731.025</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12.702.871</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20.000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1.008.154</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13.616.867</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13.622.659</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18010001-1 Ministarstvo obrazovanja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12.145.932</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13.731.025</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12.702.871</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20.000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1.008.154</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13.616.867</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13.622.659</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18030001  Osnovno obrazovanje</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58.342.244</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59.153.326</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58.789.527</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301.623</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62.176</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59.432.155</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59.712.657</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1803...</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58.342.244</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59.153.326</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58.789.527</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301.623</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62.176</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59.432.155</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59.712.657</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18040001  Srednje obrazovanje</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25.875.352</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26.382.763</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25.598.270</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783.693</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800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26.509.228</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26.636.450</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1804...</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25.875.352</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26.382.763</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25.598.270</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783.693</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800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26.509.228</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26.636.450</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18050001  "Univerzitet u Bihaću"Bihać</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11.256.289</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11.277.770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10.012.129</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40.800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1.224.841</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11.277.770</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11.277.776</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18050001-1 "Univerzitet u Bihaću"Bihać</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11.256.289</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11.277.770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10.012.129</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40.800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1.224.841</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11.277.770</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11.277.776</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18050007  "Islamski pedagoški fakultet" Bihać</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935.871</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1.021.690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666.690</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205.000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150.000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1.021.690</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1.021.690</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18050007-1 "Islamski pedagoški fakultet" Bihać</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935.871</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1.021.690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666.690</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205.000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150.000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1.021.690</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1.021.690</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18060001  "Muzej Unsko-Sanskog Kantona" Bihać</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243.208</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245.909</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239.909</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6.000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258.099</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275.545</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18060001-1 "Muzej Unsko-Sanskog Kantona" Bihać</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243.208</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245.909</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239.909</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6.000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258.099</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275.545</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18060002  "Kantonalna i univerzitetska biblioteka" Bihać</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326.894</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328.894</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270.785</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12.500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45.609</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328.894</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328.894</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18060002-1 "Kantonalna i univerzitetska biblioteka" Bihać</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326.894</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328.894</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270.785</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12.500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45.609</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328.894</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328.894</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18060003  "Arhiv Unsko-Sanskog Kantona" Bihać</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298.741</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331.990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322.990</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9.000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347.070</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333.690</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 xml:space="preserve">Program broj 18060003-1 "Arhiv Unsko-Sanskog Kantona" Bihać </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298.741</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331.990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322.990</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9.000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347.070</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333.690</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18060004  Spomen-biblioteka "Skender Kulenović" Bosanski Petrovac</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104.175</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111.846</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110.646</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1.200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106.846</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111.846</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18060004-1 Spomen-biblioteka "Skender Kulenović" Bosanski Petrovac</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104.175</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111.846</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110.646</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1.200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106.846</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111.846</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18060005  "Zavod za zaštitu kulturnog naslijeđa" Bihać</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201.509</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224.562</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189.462</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35.100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225.062</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225.562</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18060005-1 "Zavod za zaštitu kulturnog nasljeđa" Bihać</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201.509</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224.562</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189.462</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35.100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225.062</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225.562</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18070001  "Pedagoški zavod Unsko-Sanskog Kantona" Bihać</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396.713</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413.531</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413.531</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418.631</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413.531</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18070001-1 "Pedagoški zavod Unsko-Sanskog Kantona" Bihać</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396.713</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413.531</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413.531</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418.631</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413.531</w:t>
            </w:r>
          </w:p>
        </w:tc>
      </w:tr>
      <w:tr w:rsidR="00203F3A" w:rsidRPr="00203F3A" w:rsidTr="002C3239">
        <w:trPr>
          <w:trHeight w:val="42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19010001  Ministarstvo za građenje, prostorno uređenje i zastitu okolisa</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2.179.786</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2.509.314</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1.113.814</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1.395.500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2.479.934</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2.479.934</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19010001-1 Odjeljenje za urbanizam, prostorno uredenje i gradenje</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638.176</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778.404</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601.904</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176.500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750.024</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750.024</w:t>
            </w:r>
          </w:p>
        </w:tc>
      </w:tr>
      <w:tr w:rsidR="00203F3A" w:rsidRPr="00203F3A" w:rsidTr="002C3239">
        <w:trPr>
          <w:trHeight w:val="675"/>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lastRenderedPageBreak/>
              <w:t>Program broj 19010001-3 Odjeljenje za projekte, ekonomske poslove, stratesko planiranje i EU integracije</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1.541.610</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1.730.910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511.910</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1.219.000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1.729.910</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1.729.910</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 xml:space="preserve">19030001  Kantonalni zavod za prostorno uređenje i planiranje </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295.892</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376.138</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376.138</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396.138</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416.138</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19030001-1 Kantonalni zavod za prostorno uređenje i planiranje</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295.892</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376.138</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376.138</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396.138</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416.138</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20010001  Ministarstvo poljoprivrede, vodoprivrede i šumarstva</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10.637.200</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12.792.817</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7.446.817</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5.346.000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9.200.816</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9.150.817</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20010001-1 Sektor za opce pravne i ekonomsko financijske poslove</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271.418</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295.877</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290.877</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5.000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295.876</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295.877</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20010001-2 Sektor za poljoprivredu, ruralni razvoj i novcane podrske</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8.873.779</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10.861.357</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6.541.357</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4.320.000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7.341.357</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7.291.357</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20010001-3 Sektor za vodoprivredu</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914.715</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923.797</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79.797</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844.000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923.797</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923.797</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20010001-4 Sektor za veterinarstvo</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473.717</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540.087</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490.087</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50.000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540.087</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540.087</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20010001-5 Sektor za sumarstvo i lovstvo</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103.571</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171.699</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44.699</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127.000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99.699</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99.699</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 xml:space="preserve">20020001  Kantonalna uprava za šumarstvo </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2.096.433</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2.147.258</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40.318</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2.106.940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2.147.258</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2.147.258</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20020001-1 Kantonalna uprava za šumarstvo</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2.096.433</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2.147.258</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40.318</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2.106.940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2.147.258</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2.147.258</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26010001  Poljoprivredni zavod Unsko-Sanskog Kantona</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561.975</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695.297</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626.097</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57.200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12.000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740.821</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757.454</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26010001-1 Odjeljenje za upravno pravne, ekonomske poslove i robne rezerve</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184.623</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251.179</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228.579</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22.600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258.182</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269.940</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26010001-2 Odjeljenje za uzgojno selekcijske poslove</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65.745</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69.093</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65.393</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3.700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91.939</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93.013</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26010001-3 Odjeljenje za zastitu zdravlja bilja i izvjestajno prognozne poslove</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41.158</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69.383</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53.583</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3.800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12.000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71.017</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72.557</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26010001-4 Odjeljenje za ratarsko-povrtlarsku proizvodnju i savjetodavnu sluzbu</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67.625</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87.185</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83.985</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3.200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87.646</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89.242</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26010001-5 Odjeljenje ispitne laboratorije</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202.824</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218.457</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194.557</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23.900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232.037</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232.702</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27010001  Kantonalna uprava civilne zaštite</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2.855.805</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907.287</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407.287</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500.000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907.287</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907.287</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27010001-1 Kantonalna uprava civilne zaštite</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2.855.805</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907.287</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407.287</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500.000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907.287</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907.287</w:t>
            </w:r>
          </w:p>
        </w:tc>
      </w:tr>
      <w:tr w:rsidR="00203F3A" w:rsidRPr="00203F3A" w:rsidTr="002C3239">
        <w:trPr>
          <w:trHeight w:val="54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28010001  Kantonalna uprava za inspekcijske poslove</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1.975.040</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2.201.305</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2.201.305</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2.150.304</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2.122.305</w:t>
            </w:r>
          </w:p>
        </w:tc>
      </w:tr>
      <w:tr w:rsidR="00203F3A" w:rsidRPr="00203F3A" w:rsidTr="002C3239">
        <w:trPr>
          <w:trHeight w:val="675"/>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28010001-1 Inspektorat za poljoprivredu, vodoprivredu, sumarstvo i veterinarstvo</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445.039</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476.846</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476.846</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467.846</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467.846</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28010001-2 Inspektorat za promet roba i usluga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330.675</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371.698</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371.698</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388.698</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361.698</w:t>
            </w:r>
          </w:p>
        </w:tc>
      </w:tr>
      <w:tr w:rsidR="00203F3A" w:rsidRPr="00203F3A" w:rsidTr="002C3239">
        <w:trPr>
          <w:trHeight w:val="675"/>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28010001-3 Inspektorat za sanitarne, zdravstvene, farmaceutske poslove, rad i socijalna politika</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409.385</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432.318</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432.318</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432.318</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432.318</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28010001-4 Inspektorat za urbanizam, gradevinarstvo, ekologiju i cestovni promet</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293.824</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318.063</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318.063</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318.063</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318.063</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28010001-5 Odjeljenje za strucne i zajednicke poslove</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496.117</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602.380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602.380</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543.379</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542.380</w:t>
            </w:r>
          </w:p>
        </w:tc>
      </w:tr>
      <w:tr w:rsidR="00203F3A" w:rsidRPr="00203F3A" w:rsidTr="002C3239">
        <w:trPr>
          <w:trHeight w:val="420"/>
        </w:trPr>
        <w:tc>
          <w:tcPr>
            <w:tcW w:w="3252" w:type="dxa"/>
            <w:tcBorders>
              <w:top w:val="nil"/>
              <w:left w:val="single" w:sz="4" w:space="0" w:color="000000"/>
              <w:bottom w:val="single" w:sz="4" w:space="0" w:color="000000"/>
              <w:right w:val="single" w:sz="4" w:space="0" w:color="000000"/>
            </w:tcBorders>
            <w:shd w:val="clear" w:color="D3D3D3" w:fill="D3D3D3"/>
            <w:hideMark/>
          </w:tcPr>
          <w:p w:rsidR="00203F3A" w:rsidRPr="00203F3A" w:rsidRDefault="00203F3A" w:rsidP="00203F3A">
            <w:pPr>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32010001  Ured za zajedničke poslove Vlade Unsko-Sanskog kantona</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2.751.719</w:t>
            </w:r>
          </w:p>
        </w:tc>
        <w:tc>
          <w:tcPr>
            <w:tcW w:w="128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2.864.205</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2.854.205</w:t>
            </w:r>
          </w:p>
        </w:tc>
        <w:tc>
          <w:tcPr>
            <w:tcW w:w="928"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10.000</w:t>
            </w:r>
          </w:p>
        </w:tc>
        <w:tc>
          <w:tcPr>
            <w:tcW w:w="1097"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2.864.205</w:t>
            </w:r>
          </w:p>
        </w:tc>
        <w:tc>
          <w:tcPr>
            <w:tcW w:w="1316" w:type="dxa"/>
            <w:tcBorders>
              <w:top w:val="nil"/>
              <w:left w:val="nil"/>
              <w:bottom w:val="single" w:sz="4" w:space="0" w:color="000000"/>
              <w:right w:val="single" w:sz="4" w:space="0" w:color="000000"/>
            </w:tcBorders>
            <w:shd w:val="clear" w:color="D3D3D3" w:fill="D3D3D3"/>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2.874.205</w:t>
            </w:r>
          </w:p>
        </w:tc>
      </w:tr>
      <w:tr w:rsidR="00203F3A" w:rsidRPr="00203F3A" w:rsidTr="002C3239">
        <w:trPr>
          <w:trHeight w:val="45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rPr>
                <w:rFonts w:ascii="Arial" w:hAnsi="Arial" w:cs="Arial"/>
                <w:color w:val="000000"/>
                <w:sz w:val="16"/>
                <w:szCs w:val="16"/>
                <w:lang w:val="hr-HR" w:eastAsia="hr-HR"/>
              </w:rPr>
            </w:pPr>
            <w:r w:rsidRPr="00203F3A">
              <w:rPr>
                <w:rFonts w:ascii="Arial" w:hAnsi="Arial" w:cs="Arial"/>
                <w:color w:val="000000"/>
                <w:sz w:val="16"/>
                <w:szCs w:val="16"/>
                <w:lang w:val="hr-HR" w:eastAsia="hr-HR"/>
              </w:rPr>
              <w:t>Program broj 32010001-1 Ured za zajednicke poslove</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2.751.719</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2.864.205</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2.854.205</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10.000</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2.864.205</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color w:val="000000"/>
                <w:sz w:val="16"/>
                <w:szCs w:val="16"/>
                <w:lang w:val="hr-HR" w:eastAsia="hr-HR"/>
              </w:rPr>
            </w:pPr>
            <w:r w:rsidRPr="00203F3A">
              <w:rPr>
                <w:rFonts w:ascii="Arial" w:hAnsi="Arial" w:cs="Arial"/>
                <w:color w:val="000000"/>
                <w:sz w:val="16"/>
                <w:szCs w:val="16"/>
                <w:lang w:val="hr-HR" w:eastAsia="hr-HR"/>
              </w:rPr>
              <w:t>2.874.205</w:t>
            </w:r>
          </w:p>
        </w:tc>
      </w:tr>
      <w:tr w:rsidR="00203F3A" w:rsidRPr="00203F3A" w:rsidTr="002C3239">
        <w:trPr>
          <w:trHeight w:val="300"/>
        </w:trPr>
        <w:tc>
          <w:tcPr>
            <w:tcW w:w="3252" w:type="dxa"/>
            <w:tcBorders>
              <w:top w:val="nil"/>
              <w:left w:val="single" w:sz="4" w:space="0" w:color="000000"/>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UKUPNO:</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233.226.058</w:t>
            </w:r>
          </w:p>
        </w:tc>
        <w:tc>
          <w:tcPr>
            <w:tcW w:w="128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253.099.225</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232.772.589</w:t>
            </w:r>
          </w:p>
        </w:tc>
        <w:tc>
          <w:tcPr>
            <w:tcW w:w="928"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1.671.566</w:t>
            </w:r>
          </w:p>
        </w:tc>
        <w:tc>
          <w:tcPr>
            <w:tcW w:w="1097"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18.655.070</w:t>
            </w:r>
          </w:p>
        </w:tc>
        <w:tc>
          <w:tcPr>
            <w:tcW w:w="110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250.335.039</w:t>
            </w:r>
          </w:p>
        </w:tc>
        <w:tc>
          <w:tcPr>
            <w:tcW w:w="1316" w:type="dxa"/>
            <w:tcBorders>
              <w:top w:val="nil"/>
              <w:left w:val="nil"/>
              <w:bottom w:val="single" w:sz="4" w:space="0" w:color="000000"/>
              <w:right w:val="single" w:sz="4" w:space="0" w:color="000000"/>
            </w:tcBorders>
            <w:shd w:val="clear" w:color="auto" w:fill="auto"/>
            <w:hideMark/>
          </w:tcPr>
          <w:p w:rsidR="00203F3A" w:rsidRPr="00203F3A" w:rsidRDefault="00203F3A" w:rsidP="00203F3A">
            <w:pPr>
              <w:jc w:val="right"/>
              <w:rPr>
                <w:rFonts w:ascii="Arial" w:hAnsi="Arial" w:cs="Arial"/>
                <w:b/>
                <w:bCs/>
                <w:color w:val="000000"/>
                <w:sz w:val="16"/>
                <w:szCs w:val="16"/>
                <w:lang w:val="hr-HR" w:eastAsia="hr-HR"/>
              </w:rPr>
            </w:pPr>
            <w:r w:rsidRPr="00203F3A">
              <w:rPr>
                <w:rFonts w:ascii="Arial" w:hAnsi="Arial" w:cs="Arial"/>
                <w:b/>
                <w:bCs/>
                <w:color w:val="000000"/>
                <w:sz w:val="16"/>
                <w:szCs w:val="16"/>
                <w:lang w:val="hr-HR" w:eastAsia="hr-HR"/>
              </w:rPr>
              <w:t>251.543.417</w:t>
            </w:r>
          </w:p>
        </w:tc>
      </w:tr>
    </w:tbl>
    <w:p w:rsidR="003B7CD9" w:rsidRDefault="003B7CD9" w:rsidP="002F510A">
      <w:pPr>
        <w:jc w:val="center"/>
      </w:pPr>
    </w:p>
    <w:p w:rsidR="003B7CD9" w:rsidRPr="003B7CD9" w:rsidRDefault="003B7CD9" w:rsidP="003B7CD9">
      <w:pPr>
        <w:rPr>
          <w:b/>
          <w:bCs/>
          <w:sz w:val="24"/>
          <w:szCs w:val="22"/>
        </w:rPr>
      </w:pPr>
      <w:r w:rsidRPr="003B7CD9">
        <w:rPr>
          <w:b/>
          <w:bCs/>
          <w:sz w:val="24"/>
          <w:szCs w:val="22"/>
        </w:rPr>
        <w:t xml:space="preserve">4.2 Ograničenja Budžeta za 2021. </w:t>
      </w:r>
      <w:r w:rsidR="00EC7B7C">
        <w:rPr>
          <w:b/>
          <w:bCs/>
          <w:sz w:val="24"/>
          <w:szCs w:val="22"/>
        </w:rPr>
        <w:t>g</w:t>
      </w:r>
      <w:r w:rsidRPr="003B7CD9">
        <w:rPr>
          <w:b/>
          <w:bCs/>
          <w:sz w:val="24"/>
          <w:szCs w:val="22"/>
        </w:rPr>
        <w:t xml:space="preserve">odinu po korisnicima </w:t>
      </w:r>
    </w:p>
    <w:p w:rsidR="003B7CD9" w:rsidRPr="003B7CD9" w:rsidRDefault="003B7CD9" w:rsidP="002F510A">
      <w:pPr>
        <w:jc w:val="center"/>
        <w:rPr>
          <w:b/>
          <w:bCs/>
          <w:sz w:val="24"/>
          <w:szCs w:val="22"/>
        </w:rPr>
      </w:pPr>
    </w:p>
    <w:p w:rsidR="003B7CD9" w:rsidRDefault="003B7CD9" w:rsidP="002F510A">
      <w:pPr>
        <w:jc w:val="center"/>
      </w:pPr>
    </w:p>
    <w:p w:rsidR="005C0CD1" w:rsidRDefault="002F510A" w:rsidP="002F510A">
      <w:pPr>
        <w:jc w:val="center"/>
      </w:pPr>
      <w:r>
        <w:t>Tabela: Ograni</w:t>
      </w:r>
      <w:r w:rsidR="003B7CD9">
        <w:t>č</w:t>
      </w:r>
      <w:r>
        <w:t>enja budžetske potrošnje za 2021. godinu</w:t>
      </w:r>
    </w:p>
    <w:p w:rsidR="002F510A" w:rsidRDefault="002F510A" w:rsidP="002F510A">
      <w:pPr>
        <w:jc w:val="center"/>
      </w:pPr>
    </w:p>
    <w:tbl>
      <w:tblPr>
        <w:tblW w:w="9560" w:type="dxa"/>
        <w:tblInd w:w="113" w:type="dxa"/>
        <w:tblLook w:val="04A0"/>
      </w:tblPr>
      <w:tblGrid>
        <w:gridCol w:w="3200"/>
        <w:gridCol w:w="1040"/>
        <w:gridCol w:w="1040"/>
        <w:gridCol w:w="1160"/>
        <w:gridCol w:w="1060"/>
        <w:gridCol w:w="1100"/>
        <w:gridCol w:w="960"/>
      </w:tblGrid>
      <w:tr w:rsidR="002F510A" w:rsidRPr="002F510A" w:rsidTr="002F510A">
        <w:trPr>
          <w:trHeight w:val="360"/>
        </w:trPr>
        <w:tc>
          <w:tcPr>
            <w:tcW w:w="3200" w:type="dxa"/>
            <w:vMerge w:val="restart"/>
            <w:tcBorders>
              <w:top w:val="single" w:sz="4" w:space="0" w:color="000000"/>
              <w:left w:val="single" w:sz="4" w:space="0" w:color="000000"/>
              <w:bottom w:val="single" w:sz="4" w:space="0" w:color="000000"/>
              <w:right w:val="single" w:sz="4" w:space="0" w:color="auto"/>
            </w:tcBorders>
            <w:shd w:val="clear" w:color="auto" w:fill="auto"/>
            <w:vAlign w:val="bottom"/>
            <w:hideMark/>
          </w:tcPr>
          <w:p w:rsidR="002F510A" w:rsidRPr="002F510A" w:rsidRDefault="002F510A" w:rsidP="002F510A">
            <w:pPr>
              <w:jc w:val="center"/>
              <w:rPr>
                <w:b/>
                <w:bCs/>
                <w:color w:val="000000"/>
                <w:sz w:val="16"/>
                <w:szCs w:val="16"/>
                <w:lang w:eastAsia="en-GB"/>
              </w:rPr>
            </w:pPr>
            <w:r w:rsidRPr="002F510A">
              <w:rPr>
                <w:b/>
                <w:bCs/>
                <w:color w:val="000000"/>
                <w:sz w:val="16"/>
                <w:szCs w:val="16"/>
                <w:lang w:eastAsia="en-GB"/>
              </w:rPr>
              <w:t xml:space="preserve">NAZIV BUDŽETSKOG KORISNIKA </w:t>
            </w:r>
          </w:p>
        </w:tc>
        <w:tc>
          <w:tcPr>
            <w:tcW w:w="10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F510A" w:rsidRPr="002F510A" w:rsidRDefault="002F510A" w:rsidP="002F510A">
            <w:pPr>
              <w:rPr>
                <w:b/>
                <w:bCs/>
                <w:color w:val="000000"/>
                <w:sz w:val="16"/>
                <w:szCs w:val="16"/>
                <w:lang w:eastAsia="en-GB"/>
              </w:rPr>
            </w:pPr>
            <w:r w:rsidRPr="002F510A">
              <w:rPr>
                <w:b/>
                <w:bCs/>
                <w:color w:val="000000"/>
                <w:sz w:val="16"/>
                <w:szCs w:val="16"/>
                <w:lang w:eastAsia="en-GB"/>
              </w:rPr>
              <w:t xml:space="preserve">Budžet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2F510A" w:rsidRPr="002F510A" w:rsidRDefault="002F510A" w:rsidP="002F510A">
            <w:pPr>
              <w:rPr>
                <w:b/>
                <w:bCs/>
                <w:color w:val="000000"/>
                <w:sz w:val="16"/>
                <w:szCs w:val="16"/>
                <w:lang w:eastAsia="en-GB"/>
              </w:rPr>
            </w:pPr>
            <w:r w:rsidRPr="002F510A">
              <w:rPr>
                <w:b/>
                <w:bCs/>
                <w:color w:val="000000"/>
                <w:sz w:val="16"/>
                <w:szCs w:val="16"/>
                <w:lang w:eastAsia="en-GB"/>
              </w:rPr>
              <w:t>Zahtjev BK</w:t>
            </w:r>
          </w:p>
        </w:tc>
        <w:tc>
          <w:tcPr>
            <w:tcW w:w="1160" w:type="dxa"/>
            <w:tcBorders>
              <w:top w:val="single" w:sz="4" w:space="0" w:color="auto"/>
              <w:left w:val="nil"/>
              <w:bottom w:val="single" w:sz="4" w:space="0" w:color="auto"/>
              <w:right w:val="single" w:sz="4" w:space="0" w:color="auto"/>
            </w:tcBorders>
            <w:shd w:val="clear" w:color="000000" w:fill="D9D9D9"/>
            <w:vAlign w:val="center"/>
            <w:hideMark/>
          </w:tcPr>
          <w:p w:rsidR="002F510A" w:rsidRPr="002F510A" w:rsidRDefault="002F510A" w:rsidP="002F510A">
            <w:pPr>
              <w:rPr>
                <w:b/>
                <w:bCs/>
                <w:color w:val="000000"/>
                <w:sz w:val="16"/>
                <w:szCs w:val="16"/>
                <w:lang w:eastAsia="en-GB"/>
              </w:rPr>
            </w:pPr>
            <w:r w:rsidRPr="002F510A">
              <w:rPr>
                <w:b/>
                <w:bCs/>
                <w:color w:val="000000"/>
                <w:sz w:val="16"/>
                <w:szCs w:val="16"/>
                <w:lang w:eastAsia="en-GB"/>
              </w:rPr>
              <w:t xml:space="preserve">Ogranićenja MF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2F510A" w:rsidRPr="002F510A" w:rsidRDefault="002F510A" w:rsidP="002F510A">
            <w:pPr>
              <w:jc w:val="center"/>
              <w:rPr>
                <w:b/>
                <w:bCs/>
                <w:sz w:val="16"/>
                <w:szCs w:val="16"/>
                <w:lang w:eastAsia="en-GB"/>
              </w:rPr>
            </w:pPr>
            <w:r w:rsidRPr="002F510A">
              <w:rPr>
                <w:b/>
                <w:bCs/>
                <w:sz w:val="16"/>
                <w:szCs w:val="16"/>
                <w:lang w:eastAsia="en-GB"/>
              </w:rPr>
              <w:t>Razlika</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2F510A" w:rsidRPr="002F510A" w:rsidRDefault="002F510A" w:rsidP="002F510A">
            <w:pPr>
              <w:jc w:val="center"/>
              <w:rPr>
                <w:b/>
                <w:bCs/>
                <w:sz w:val="16"/>
                <w:szCs w:val="16"/>
                <w:lang w:eastAsia="en-GB"/>
              </w:rPr>
            </w:pPr>
            <w:r w:rsidRPr="002F510A">
              <w:rPr>
                <w:b/>
                <w:bCs/>
                <w:sz w:val="16"/>
                <w:szCs w:val="16"/>
                <w:lang w:eastAsia="en-GB"/>
              </w:rPr>
              <w:t>Razlika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510A" w:rsidRPr="002F510A" w:rsidRDefault="002F510A" w:rsidP="002F510A">
            <w:pPr>
              <w:jc w:val="center"/>
              <w:rPr>
                <w:b/>
                <w:bCs/>
                <w:sz w:val="16"/>
                <w:szCs w:val="16"/>
                <w:lang w:eastAsia="en-GB"/>
              </w:rPr>
            </w:pPr>
            <w:r w:rsidRPr="002F510A">
              <w:rPr>
                <w:b/>
                <w:bCs/>
                <w:sz w:val="16"/>
                <w:szCs w:val="16"/>
                <w:lang w:eastAsia="en-GB"/>
              </w:rPr>
              <w:t>Razlika</w:t>
            </w:r>
          </w:p>
        </w:tc>
      </w:tr>
      <w:tr w:rsidR="002F510A" w:rsidRPr="002F510A" w:rsidTr="002F510A">
        <w:trPr>
          <w:trHeight w:val="288"/>
        </w:trPr>
        <w:tc>
          <w:tcPr>
            <w:tcW w:w="3200" w:type="dxa"/>
            <w:vMerge/>
            <w:tcBorders>
              <w:top w:val="single" w:sz="4" w:space="0" w:color="000000"/>
              <w:left w:val="single" w:sz="4" w:space="0" w:color="000000"/>
              <w:bottom w:val="single" w:sz="4" w:space="0" w:color="000000"/>
              <w:right w:val="single" w:sz="4" w:space="0" w:color="auto"/>
            </w:tcBorders>
            <w:vAlign w:val="center"/>
            <w:hideMark/>
          </w:tcPr>
          <w:p w:rsidR="002F510A" w:rsidRPr="002F510A" w:rsidRDefault="002F510A" w:rsidP="002F510A">
            <w:pPr>
              <w:rPr>
                <w:b/>
                <w:bCs/>
                <w:color w:val="000000"/>
                <w:sz w:val="16"/>
                <w:szCs w:val="16"/>
                <w:lang w:eastAsia="en-GB"/>
              </w:rPr>
            </w:pPr>
          </w:p>
        </w:tc>
        <w:tc>
          <w:tcPr>
            <w:tcW w:w="1040" w:type="dxa"/>
            <w:tcBorders>
              <w:top w:val="nil"/>
              <w:left w:val="single" w:sz="4" w:space="0" w:color="auto"/>
              <w:bottom w:val="single" w:sz="4" w:space="0" w:color="auto"/>
              <w:right w:val="single" w:sz="4" w:space="0" w:color="auto"/>
            </w:tcBorders>
            <w:shd w:val="clear" w:color="000000" w:fill="D9D9D9"/>
            <w:hideMark/>
          </w:tcPr>
          <w:p w:rsidR="002F510A" w:rsidRPr="002F510A" w:rsidRDefault="002F510A" w:rsidP="002F510A">
            <w:pPr>
              <w:jc w:val="right"/>
              <w:rPr>
                <w:b/>
                <w:bCs/>
                <w:color w:val="000000"/>
                <w:sz w:val="16"/>
                <w:szCs w:val="16"/>
                <w:lang w:eastAsia="en-GB"/>
              </w:rPr>
            </w:pPr>
            <w:r w:rsidRPr="002F510A">
              <w:rPr>
                <w:b/>
                <w:bCs/>
                <w:color w:val="000000"/>
                <w:sz w:val="16"/>
                <w:szCs w:val="16"/>
                <w:lang w:eastAsia="en-GB"/>
              </w:rPr>
              <w:t>2020</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b/>
                <w:bCs/>
                <w:color w:val="000000"/>
                <w:sz w:val="16"/>
                <w:szCs w:val="16"/>
                <w:lang w:eastAsia="en-GB"/>
              </w:rPr>
            </w:pPr>
            <w:r w:rsidRPr="002F510A">
              <w:rPr>
                <w:b/>
                <w:bCs/>
                <w:color w:val="000000"/>
                <w:sz w:val="16"/>
                <w:szCs w:val="16"/>
                <w:lang w:eastAsia="en-GB"/>
              </w:rPr>
              <w:t>2021</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b/>
                <w:bCs/>
                <w:color w:val="000000"/>
                <w:sz w:val="16"/>
                <w:szCs w:val="16"/>
                <w:lang w:eastAsia="en-GB"/>
              </w:rPr>
            </w:pPr>
            <w:r w:rsidRPr="002F510A">
              <w:rPr>
                <w:b/>
                <w:bCs/>
                <w:color w:val="000000"/>
                <w:sz w:val="16"/>
                <w:szCs w:val="16"/>
                <w:lang w:eastAsia="en-GB"/>
              </w:rPr>
              <w:t>2021</w:t>
            </w:r>
          </w:p>
        </w:tc>
        <w:tc>
          <w:tcPr>
            <w:tcW w:w="1060" w:type="dxa"/>
            <w:tcBorders>
              <w:top w:val="nil"/>
              <w:left w:val="nil"/>
              <w:bottom w:val="single" w:sz="4" w:space="0" w:color="auto"/>
              <w:right w:val="single" w:sz="4" w:space="0" w:color="auto"/>
            </w:tcBorders>
            <w:shd w:val="clear" w:color="auto" w:fill="auto"/>
            <w:noWrap/>
            <w:vAlign w:val="bottom"/>
            <w:hideMark/>
          </w:tcPr>
          <w:p w:rsidR="002F510A" w:rsidRPr="002F510A" w:rsidRDefault="002F510A" w:rsidP="002F510A">
            <w:pPr>
              <w:jc w:val="center"/>
              <w:rPr>
                <w:b/>
                <w:bCs/>
                <w:sz w:val="16"/>
                <w:szCs w:val="16"/>
                <w:lang w:eastAsia="en-GB"/>
              </w:rPr>
            </w:pPr>
            <w:r w:rsidRPr="002F510A">
              <w:rPr>
                <w:b/>
                <w:bCs/>
                <w:sz w:val="16"/>
                <w:szCs w:val="16"/>
                <w:lang w:eastAsia="en-GB"/>
              </w:rPr>
              <w:t>ZBK-B20</w:t>
            </w:r>
          </w:p>
        </w:tc>
        <w:tc>
          <w:tcPr>
            <w:tcW w:w="1100" w:type="dxa"/>
            <w:tcBorders>
              <w:top w:val="nil"/>
              <w:left w:val="nil"/>
              <w:bottom w:val="single" w:sz="4" w:space="0" w:color="auto"/>
              <w:right w:val="single" w:sz="4" w:space="0" w:color="auto"/>
            </w:tcBorders>
            <w:shd w:val="clear" w:color="auto" w:fill="auto"/>
            <w:noWrap/>
            <w:vAlign w:val="bottom"/>
            <w:hideMark/>
          </w:tcPr>
          <w:p w:rsidR="002F510A" w:rsidRPr="002F510A" w:rsidRDefault="002F510A" w:rsidP="002F510A">
            <w:pPr>
              <w:jc w:val="center"/>
              <w:rPr>
                <w:b/>
                <w:bCs/>
                <w:sz w:val="16"/>
                <w:szCs w:val="16"/>
                <w:lang w:eastAsia="en-GB"/>
              </w:rPr>
            </w:pPr>
            <w:r w:rsidRPr="002F510A">
              <w:rPr>
                <w:b/>
                <w:bCs/>
                <w:sz w:val="16"/>
                <w:szCs w:val="16"/>
                <w:lang w:eastAsia="en-GB"/>
              </w:rPr>
              <w:t>OMF-ZBK</w:t>
            </w:r>
          </w:p>
        </w:tc>
        <w:tc>
          <w:tcPr>
            <w:tcW w:w="960" w:type="dxa"/>
            <w:tcBorders>
              <w:top w:val="nil"/>
              <w:left w:val="nil"/>
              <w:bottom w:val="single" w:sz="4" w:space="0" w:color="auto"/>
              <w:right w:val="single" w:sz="4" w:space="0" w:color="auto"/>
            </w:tcBorders>
            <w:shd w:val="clear" w:color="auto" w:fill="auto"/>
            <w:noWrap/>
            <w:vAlign w:val="bottom"/>
            <w:hideMark/>
          </w:tcPr>
          <w:p w:rsidR="002F510A" w:rsidRPr="002F510A" w:rsidRDefault="002F510A" w:rsidP="002F510A">
            <w:pPr>
              <w:jc w:val="center"/>
              <w:rPr>
                <w:b/>
                <w:bCs/>
                <w:sz w:val="16"/>
                <w:szCs w:val="16"/>
                <w:lang w:eastAsia="en-GB"/>
              </w:rPr>
            </w:pPr>
            <w:r w:rsidRPr="002F510A">
              <w:rPr>
                <w:b/>
                <w:bCs/>
                <w:sz w:val="16"/>
                <w:szCs w:val="16"/>
                <w:lang w:eastAsia="en-GB"/>
              </w:rPr>
              <w:t>OMF-B20</w:t>
            </w:r>
          </w:p>
        </w:tc>
      </w:tr>
      <w:tr w:rsidR="002F510A" w:rsidRPr="002F510A" w:rsidTr="002F510A">
        <w:trPr>
          <w:trHeight w:val="288"/>
        </w:trPr>
        <w:tc>
          <w:tcPr>
            <w:tcW w:w="3200" w:type="dxa"/>
            <w:tcBorders>
              <w:top w:val="nil"/>
              <w:left w:val="single" w:sz="4" w:space="0" w:color="000000"/>
              <w:bottom w:val="nil"/>
              <w:right w:val="nil"/>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 </w:t>
            </w:r>
          </w:p>
        </w:tc>
        <w:tc>
          <w:tcPr>
            <w:tcW w:w="1040" w:type="dxa"/>
            <w:tcBorders>
              <w:top w:val="nil"/>
              <w:left w:val="single" w:sz="4" w:space="0" w:color="auto"/>
              <w:bottom w:val="nil"/>
              <w:right w:val="single" w:sz="4" w:space="0" w:color="auto"/>
            </w:tcBorders>
            <w:shd w:val="clear" w:color="000000" w:fill="D9D9D9"/>
            <w:vAlign w:val="bottom"/>
            <w:hideMark/>
          </w:tcPr>
          <w:p w:rsidR="002F510A" w:rsidRPr="002F510A" w:rsidRDefault="002F510A" w:rsidP="002F510A">
            <w:pPr>
              <w:jc w:val="center"/>
              <w:rPr>
                <w:b/>
                <w:bCs/>
                <w:color w:val="000000"/>
                <w:sz w:val="16"/>
                <w:szCs w:val="16"/>
                <w:lang w:eastAsia="en-GB"/>
              </w:rPr>
            </w:pPr>
            <w:r w:rsidRPr="002F510A">
              <w:rPr>
                <w:b/>
                <w:bCs/>
                <w:color w:val="000000"/>
                <w:sz w:val="16"/>
                <w:szCs w:val="16"/>
                <w:lang w:eastAsia="en-GB"/>
              </w:rPr>
              <w:t>1</w:t>
            </w:r>
          </w:p>
        </w:tc>
        <w:tc>
          <w:tcPr>
            <w:tcW w:w="1040" w:type="dxa"/>
            <w:tcBorders>
              <w:top w:val="nil"/>
              <w:left w:val="nil"/>
              <w:bottom w:val="nil"/>
              <w:right w:val="single" w:sz="4" w:space="0" w:color="auto"/>
            </w:tcBorders>
            <w:shd w:val="clear" w:color="auto" w:fill="auto"/>
            <w:vAlign w:val="bottom"/>
            <w:hideMark/>
          </w:tcPr>
          <w:p w:rsidR="002F510A" w:rsidRPr="002F510A" w:rsidRDefault="002F510A" w:rsidP="002F510A">
            <w:pPr>
              <w:jc w:val="center"/>
              <w:rPr>
                <w:b/>
                <w:bCs/>
                <w:color w:val="000000"/>
                <w:sz w:val="16"/>
                <w:szCs w:val="16"/>
                <w:lang w:eastAsia="en-GB"/>
              </w:rPr>
            </w:pPr>
            <w:r w:rsidRPr="002F510A">
              <w:rPr>
                <w:b/>
                <w:bCs/>
                <w:color w:val="000000"/>
                <w:sz w:val="16"/>
                <w:szCs w:val="16"/>
                <w:lang w:eastAsia="en-GB"/>
              </w:rPr>
              <w:t>2</w:t>
            </w:r>
          </w:p>
        </w:tc>
        <w:tc>
          <w:tcPr>
            <w:tcW w:w="1160" w:type="dxa"/>
            <w:tcBorders>
              <w:top w:val="nil"/>
              <w:left w:val="nil"/>
              <w:bottom w:val="nil"/>
              <w:right w:val="single" w:sz="4" w:space="0" w:color="auto"/>
            </w:tcBorders>
            <w:shd w:val="clear" w:color="000000" w:fill="D9D9D9"/>
            <w:vAlign w:val="bottom"/>
            <w:hideMark/>
          </w:tcPr>
          <w:p w:rsidR="002F510A" w:rsidRPr="002F510A" w:rsidRDefault="002F510A" w:rsidP="002F510A">
            <w:pPr>
              <w:jc w:val="center"/>
              <w:rPr>
                <w:b/>
                <w:bCs/>
                <w:color w:val="000000"/>
                <w:sz w:val="16"/>
                <w:szCs w:val="16"/>
                <w:lang w:eastAsia="en-GB"/>
              </w:rPr>
            </w:pPr>
            <w:r w:rsidRPr="002F510A">
              <w:rPr>
                <w:b/>
                <w:bCs/>
                <w:color w:val="000000"/>
                <w:sz w:val="16"/>
                <w:szCs w:val="16"/>
                <w:lang w:eastAsia="en-GB"/>
              </w:rPr>
              <w:t>3</w:t>
            </w:r>
          </w:p>
        </w:tc>
        <w:tc>
          <w:tcPr>
            <w:tcW w:w="1060" w:type="dxa"/>
            <w:tcBorders>
              <w:top w:val="nil"/>
              <w:left w:val="nil"/>
              <w:bottom w:val="nil"/>
              <w:right w:val="single" w:sz="4" w:space="0" w:color="auto"/>
            </w:tcBorders>
            <w:shd w:val="clear" w:color="auto" w:fill="auto"/>
            <w:noWrap/>
            <w:vAlign w:val="bottom"/>
            <w:hideMark/>
          </w:tcPr>
          <w:p w:rsidR="002F510A" w:rsidRPr="002F510A" w:rsidRDefault="002F510A" w:rsidP="002F510A">
            <w:pPr>
              <w:jc w:val="center"/>
              <w:rPr>
                <w:b/>
                <w:bCs/>
                <w:sz w:val="16"/>
                <w:szCs w:val="16"/>
                <w:lang w:eastAsia="en-GB"/>
              </w:rPr>
            </w:pPr>
            <w:r w:rsidRPr="002F510A">
              <w:rPr>
                <w:b/>
                <w:bCs/>
                <w:sz w:val="16"/>
                <w:szCs w:val="16"/>
                <w:lang w:eastAsia="en-GB"/>
              </w:rPr>
              <w:t>4=2-1</w:t>
            </w:r>
          </w:p>
        </w:tc>
        <w:tc>
          <w:tcPr>
            <w:tcW w:w="1100" w:type="dxa"/>
            <w:tcBorders>
              <w:top w:val="nil"/>
              <w:left w:val="nil"/>
              <w:bottom w:val="nil"/>
              <w:right w:val="single" w:sz="4" w:space="0" w:color="auto"/>
            </w:tcBorders>
            <w:shd w:val="clear" w:color="auto" w:fill="auto"/>
            <w:noWrap/>
            <w:vAlign w:val="bottom"/>
            <w:hideMark/>
          </w:tcPr>
          <w:p w:rsidR="002F510A" w:rsidRPr="002F510A" w:rsidRDefault="002F510A" w:rsidP="002F510A">
            <w:pPr>
              <w:jc w:val="center"/>
              <w:rPr>
                <w:b/>
                <w:bCs/>
                <w:sz w:val="16"/>
                <w:szCs w:val="16"/>
                <w:lang w:eastAsia="en-GB"/>
              </w:rPr>
            </w:pPr>
            <w:r w:rsidRPr="002F510A">
              <w:rPr>
                <w:b/>
                <w:bCs/>
                <w:sz w:val="16"/>
                <w:szCs w:val="16"/>
                <w:lang w:eastAsia="en-GB"/>
              </w:rPr>
              <w:t>5=3-2</w:t>
            </w:r>
          </w:p>
        </w:tc>
        <w:tc>
          <w:tcPr>
            <w:tcW w:w="960" w:type="dxa"/>
            <w:tcBorders>
              <w:top w:val="nil"/>
              <w:left w:val="nil"/>
              <w:bottom w:val="nil"/>
              <w:right w:val="single" w:sz="4" w:space="0" w:color="auto"/>
            </w:tcBorders>
            <w:shd w:val="clear" w:color="auto" w:fill="auto"/>
            <w:noWrap/>
            <w:vAlign w:val="bottom"/>
            <w:hideMark/>
          </w:tcPr>
          <w:p w:rsidR="002F510A" w:rsidRPr="002F510A" w:rsidRDefault="002F510A" w:rsidP="002F510A">
            <w:pPr>
              <w:jc w:val="center"/>
              <w:rPr>
                <w:b/>
                <w:bCs/>
                <w:sz w:val="16"/>
                <w:szCs w:val="16"/>
                <w:lang w:eastAsia="en-GB"/>
              </w:rPr>
            </w:pPr>
            <w:r w:rsidRPr="002F510A">
              <w:rPr>
                <w:b/>
                <w:bCs/>
                <w:sz w:val="16"/>
                <w:szCs w:val="16"/>
                <w:lang w:eastAsia="en-GB"/>
              </w:rPr>
              <w:t>6=3-1</w:t>
            </w:r>
          </w:p>
        </w:tc>
      </w:tr>
      <w:tr w:rsidR="002F510A" w:rsidRPr="002F510A" w:rsidTr="002F510A">
        <w:trPr>
          <w:trHeight w:val="276"/>
        </w:trPr>
        <w:tc>
          <w:tcPr>
            <w:tcW w:w="3200" w:type="dxa"/>
            <w:tcBorders>
              <w:top w:val="single" w:sz="4" w:space="0" w:color="auto"/>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Skupština Unsko-Sanskog kantona Bihać</w:t>
            </w:r>
          </w:p>
        </w:tc>
        <w:tc>
          <w:tcPr>
            <w:tcW w:w="1040" w:type="dxa"/>
            <w:tcBorders>
              <w:top w:val="single" w:sz="4" w:space="0" w:color="auto"/>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1.859.124</w:t>
            </w:r>
          </w:p>
        </w:tc>
        <w:tc>
          <w:tcPr>
            <w:tcW w:w="1040" w:type="dxa"/>
            <w:tcBorders>
              <w:top w:val="single" w:sz="4" w:space="0" w:color="auto"/>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1.992.124</w:t>
            </w:r>
          </w:p>
        </w:tc>
        <w:tc>
          <w:tcPr>
            <w:tcW w:w="1160" w:type="dxa"/>
            <w:tcBorders>
              <w:top w:val="single" w:sz="4" w:space="0" w:color="auto"/>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1.817.196</w:t>
            </w:r>
          </w:p>
        </w:tc>
        <w:tc>
          <w:tcPr>
            <w:tcW w:w="1060" w:type="dxa"/>
            <w:tcBorders>
              <w:top w:val="single" w:sz="4" w:space="0" w:color="auto"/>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133.000</w:t>
            </w:r>
          </w:p>
        </w:tc>
        <w:tc>
          <w:tcPr>
            <w:tcW w:w="1100" w:type="dxa"/>
            <w:tcBorders>
              <w:top w:val="single" w:sz="4" w:space="0" w:color="auto"/>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-174.928</w:t>
            </w:r>
          </w:p>
        </w:tc>
        <w:tc>
          <w:tcPr>
            <w:tcW w:w="960" w:type="dxa"/>
            <w:tcBorders>
              <w:top w:val="single" w:sz="4" w:space="0" w:color="auto"/>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-41.928</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 xml:space="preserve">Služba Skupštine Unsko Sanskog Kantona </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303.363</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372.161</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280.168</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68.798</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-91.993</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-23.195</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Vlada Unsko-Sanskog Kantona Bihać</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6.495.072</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6.466.388</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3.944.950</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-28.684</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-2.521.438</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-2.550.122</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Kabinet Premijera USK</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400.090</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404.038</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404.350</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3.948</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312</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4.260</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Komisija za koncesije</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210.939</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224.739</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209.110</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13.800</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-15.629</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-1.829</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Ured Vlade Unsko-Sanskog kantona Bihać</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186.134</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187.134</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174.995</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1.000</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-12.139</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-11.139</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Ured za zakonodavstvo Vlade USK-a</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121.129</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123.719</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121.097</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2.590</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-2.622</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-32</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Ministarstvo unutrašnjih poslova USK-a</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5.151.571</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6.137.370</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4.975.405</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985.799</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-1.161.965</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-176.166</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Uprava policije</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30.483.589</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36.717.409</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30.320.000</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6.233.820</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-6.397.409</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-163.589</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Ministarstvo pravosuđa i uprave</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893.328</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1.056.282</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875.480</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162.954</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-180.802</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-17.848</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Kantonalni Sud Bihać</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2.792.790</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3.273.835</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2.778.219</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481.045</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-495.616</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-14.571</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Općinski Sud Bihać</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3.961.527</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4.078.823</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3.905.987</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117.296</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-172.836</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-55.540</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Općinski Sud Bosanska Krupa</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1.552.902</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1.681.349</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1.535.808</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128.447</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-145.541</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-17.094</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Općinski Sud Cazin</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2.086.982</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3.338.632</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2.042.501</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1.251.650</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-1.296.131</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-44.481</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Općinski Sud Sanski Most</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1.720.166</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2.024.243</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1.643.826</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304.077</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-380.417</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-76.340</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Općinski Sud Velika Kladuša</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1.531.384</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1.567.139</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1.478.910</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35.755</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-88.229</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-52.474</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Kantonalno tužilaštvo USK-a Bihać</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3.793.100</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4.025.519</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3.674.252</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232.419</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-351.267</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-118.848</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 xml:space="preserve">Kantonalno Pravobranilaštvo USK </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244.374</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242.915</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244.676</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-1.459</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1.761</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302</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Kantonalni Zavod za pružane besplatne pravne</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182.878</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188.341</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180.966</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5.463</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-7.375</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-1.912</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Ministarstvo Finansija Unsko-Sanskog Kantona</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4.454.697</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4.793.855</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4.586.750</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339.158</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-207.105</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132.053</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Ministarstvo privrede Unsko-Sanskog Kantona</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4.048.327</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3.839.454</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3.046.096</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-208.873</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-793.358</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-1.002.231</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Ministarstvo za pitanje boraca i ratnih vojnih in</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5.269.069</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14.757.000</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5.480.350</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9.487.931</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-9.276.650</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211.281</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Ministarstvo zdravstva, rada i socijalne politike</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11.809.981</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8.972.370</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8.933.811</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-2.837.611</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-38.559</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-2.876.170</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Socijalno pedagoška životna zajednica Bihać</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1.469.749</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1.924.959</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1.476.106</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455.210</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-448.853</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6.357</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Ministarstvo obrazovanja, nauke, kulture i sporta</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11.083.924</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12.702.871</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10.857.913</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1.618.947</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-1.844.958</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-226.011</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 xml:space="preserve">Osnovno obrazovanje </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57.979.168</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58.789.527</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55.932.025</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810.359</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-2.857.502</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-2.047.143</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 xml:space="preserve">Srednje obrazovanje </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25.091.560</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25.598.270</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24.450.572</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506.710</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-1.147.698</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-640.988</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Visoko obrazovanje</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10.611.266</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10.678.819</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10.066.670</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67.553</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-612.149</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-544.596</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"Muzej Unsko-Sanskog Kantona" Bihać</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238.208</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239.909</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240.415</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1.701</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506</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2.207</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"Kantonalna i univerzitetska biblioteka" Bihać</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270.785</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270.785</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257.844</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0</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-12.941</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-12.941</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"Arhiv Unsko-Sanskog Kantona" Bihać</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285.741</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322.990</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295.719</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37.249</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-27.271</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9.978</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 xml:space="preserve">Spomen-biblioteka "Skender Kulenović" </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102.975</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110.646</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111.339</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7.671</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693</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8.364</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"Zavod za zaštitu kulturnog naslijeđa" Bihać</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166.409</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189.462</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150.155</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23.053</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-39.307</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-16.254</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 xml:space="preserve">"Pedagoški zavod Unsko-Sanskog Kantona" </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396.713</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413.531</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396.923</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16.818</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-16.608</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210</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Ministarstvo za građenje, prostorno uređenje i zastitu okolisa</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832.186</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1.113.814</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829.270</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281.628</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-284.544</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-2.916</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Kantonalni zavod za prostorno uređenje i pl</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295.892</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376.138</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300.500</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80.246</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-75.638</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4.608</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lastRenderedPageBreak/>
              <w:t>Ministarstvo poljoprivrede, vodoprivrede i šum</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7.286.200</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7.446.817</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7.192.500</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160.617</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-254.317</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-93.700</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Kantonalna uprava za šumarstvo</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40.318</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40.318</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40.255</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0</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-63</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-63</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Poljoprivredni zavod Unsko-Sanskog Kantona</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444.475</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626.097</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455.100</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181.622</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-170.997</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10.625</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Kantonalna uprava civilne zaštite</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364.105</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407.287</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362.700</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43.182</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-44.587</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-1.405</w:t>
            </w:r>
          </w:p>
        </w:tc>
      </w:tr>
      <w:tr w:rsidR="002F510A" w:rsidRPr="002F510A" w:rsidTr="002F510A">
        <w:trPr>
          <w:trHeight w:val="276"/>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Kantonalna uprava za inspekcijske poslove</w:t>
            </w:r>
          </w:p>
        </w:tc>
        <w:tc>
          <w:tcPr>
            <w:tcW w:w="104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1.975.040</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2.201.305</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2.044.000</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226.265</w:t>
            </w:r>
          </w:p>
        </w:tc>
        <w:tc>
          <w:tcPr>
            <w:tcW w:w="110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-157.305</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68.960</w:t>
            </w:r>
          </w:p>
        </w:tc>
      </w:tr>
      <w:tr w:rsidR="002F510A" w:rsidRPr="002F510A" w:rsidTr="002F510A">
        <w:trPr>
          <w:trHeight w:val="276"/>
        </w:trPr>
        <w:tc>
          <w:tcPr>
            <w:tcW w:w="3200" w:type="dxa"/>
            <w:tcBorders>
              <w:top w:val="nil"/>
              <w:left w:val="single" w:sz="4" w:space="0" w:color="auto"/>
              <w:bottom w:val="nil"/>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Ured za zajedničke poslove Vlade USK</w:t>
            </w:r>
          </w:p>
        </w:tc>
        <w:tc>
          <w:tcPr>
            <w:tcW w:w="1040" w:type="dxa"/>
            <w:tcBorders>
              <w:top w:val="nil"/>
              <w:left w:val="nil"/>
              <w:bottom w:val="nil"/>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2.741.719</w:t>
            </w:r>
          </w:p>
        </w:tc>
        <w:tc>
          <w:tcPr>
            <w:tcW w:w="1040" w:type="dxa"/>
            <w:tcBorders>
              <w:top w:val="nil"/>
              <w:left w:val="nil"/>
              <w:bottom w:val="nil"/>
              <w:right w:val="single" w:sz="4" w:space="0" w:color="auto"/>
            </w:tcBorders>
            <w:shd w:val="clear" w:color="auto" w:fill="auto"/>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2.854.205</w:t>
            </w:r>
          </w:p>
        </w:tc>
        <w:tc>
          <w:tcPr>
            <w:tcW w:w="1160" w:type="dxa"/>
            <w:tcBorders>
              <w:top w:val="nil"/>
              <w:left w:val="nil"/>
              <w:bottom w:val="nil"/>
              <w:right w:val="single" w:sz="4" w:space="0" w:color="auto"/>
            </w:tcBorders>
            <w:shd w:val="clear" w:color="000000" w:fill="D9D9D9"/>
            <w:hideMark/>
          </w:tcPr>
          <w:p w:rsidR="002F510A" w:rsidRPr="002F510A" w:rsidRDefault="002F510A" w:rsidP="002F510A">
            <w:pPr>
              <w:jc w:val="right"/>
              <w:rPr>
                <w:color w:val="000000"/>
                <w:sz w:val="16"/>
                <w:szCs w:val="16"/>
                <w:lang w:eastAsia="en-GB"/>
              </w:rPr>
            </w:pPr>
            <w:r w:rsidRPr="002F510A">
              <w:rPr>
                <w:color w:val="000000"/>
                <w:sz w:val="16"/>
                <w:szCs w:val="16"/>
                <w:lang w:eastAsia="en-GB"/>
              </w:rPr>
              <w:t>2.741.418</w:t>
            </w:r>
          </w:p>
        </w:tc>
        <w:tc>
          <w:tcPr>
            <w:tcW w:w="1060" w:type="dxa"/>
            <w:tcBorders>
              <w:top w:val="nil"/>
              <w:left w:val="nil"/>
              <w:bottom w:val="nil"/>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112.486</w:t>
            </w:r>
          </w:p>
        </w:tc>
        <w:tc>
          <w:tcPr>
            <w:tcW w:w="1100" w:type="dxa"/>
            <w:tcBorders>
              <w:top w:val="nil"/>
              <w:left w:val="nil"/>
              <w:bottom w:val="nil"/>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-112.787</w:t>
            </w:r>
          </w:p>
        </w:tc>
        <w:tc>
          <w:tcPr>
            <w:tcW w:w="9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-301</w:t>
            </w:r>
          </w:p>
        </w:tc>
      </w:tr>
      <w:tr w:rsidR="002F510A" w:rsidRPr="002F510A" w:rsidTr="002F510A">
        <w:trPr>
          <w:trHeight w:val="288"/>
        </w:trPr>
        <w:tc>
          <w:tcPr>
            <w:tcW w:w="3200" w:type="dxa"/>
            <w:tcBorders>
              <w:top w:val="single" w:sz="8" w:space="0" w:color="auto"/>
              <w:left w:val="single" w:sz="8" w:space="0" w:color="auto"/>
              <w:bottom w:val="nil"/>
              <w:right w:val="nil"/>
            </w:tcBorders>
            <w:shd w:val="clear" w:color="D3D3D3" w:fill="D3D3D3"/>
            <w:hideMark/>
          </w:tcPr>
          <w:p w:rsidR="002F510A" w:rsidRPr="002F510A" w:rsidRDefault="002F510A" w:rsidP="002F510A">
            <w:pPr>
              <w:rPr>
                <w:b/>
                <w:bCs/>
                <w:color w:val="000000"/>
                <w:sz w:val="16"/>
                <w:szCs w:val="16"/>
                <w:lang w:eastAsia="en-GB"/>
              </w:rPr>
            </w:pPr>
            <w:r w:rsidRPr="002F510A">
              <w:rPr>
                <w:b/>
                <w:bCs/>
                <w:color w:val="000000"/>
                <w:sz w:val="16"/>
                <w:szCs w:val="16"/>
                <w:lang w:eastAsia="en-GB"/>
              </w:rPr>
              <w:t>UKUPNO</w:t>
            </w:r>
          </w:p>
        </w:tc>
        <w:tc>
          <w:tcPr>
            <w:tcW w:w="1040" w:type="dxa"/>
            <w:tcBorders>
              <w:top w:val="single" w:sz="8" w:space="0" w:color="auto"/>
              <w:left w:val="single" w:sz="4" w:space="0" w:color="auto"/>
              <w:bottom w:val="single" w:sz="4" w:space="0" w:color="auto"/>
              <w:right w:val="single" w:sz="4" w:space="0" w:color="auto"/>
            </w:tcBorders>
            <w:shd w:val="clear" w:color="000000" w:fill="D9D9D9"/>
            <w:hideMark/>
          </w:tcPr>
          <w:p w:rsidR="002F510A" w:rsidRPr="002F510A" w:rsidRDefault="002F510A" w:rsidP="002F510A">
            <w:pPr>
              <w:jc w:val="right"/>
              <w:rPr>
                <w:b/>
                <w:bCs/>
                <w:color w:val="000000"/>
                <w:sz w:val="16"/>
                <w:szCs w:val="16"/>
                <w:lang w:eastAsia="en-GB"/>
              </w:rPr>
            </w:pPr>
            <w:r w:rsidRPr="002F510A">
              <w:rPr>
                <w:b/>
                <w:bCs/>
                <w:color w:val="000000"/>
                <w:sz w:val="16"/>
                <w:szCs w:val="16"/>
                <w:lang w:eastAsia="en-GB"/>
              </w:rPr>
              <w:t>211.228.949</w:t>
            </w:r>
          </w:p>
        </w:tc>
        <w:tc>
          <w:tcPr>
            <w:tcW w:w="1040" w:type="dxa"/>
            <w:tcBorders>
              <w:top w:val="single" w:sz="8" w:space="0" w:color="auto"/>
              <w:left w:val="nil"/>
              <w:bottom w:val="single" w:sz="4" w:space="0" w:color="auto"/>
              <w:right w:val="single" w:sz="4" w:space="0" w:color="auto"/>
            </w:tcBorders>
            <w:shd w:val="clear" w:color="000000" w:fill="D9D9D9"/>
            <w:hideMark/>
          </w:tcPr>
          <w:p w:rsidR="002F510A" w:rsidRPr="002F510A" w:rsidRDefault="002F510A" w:rsidP="002F510A">
            <w:pPr>
              <w:jc w:val="right"/>
              <w:rPr>
                <w:b/>
                <w:bCs/>
                <w:color w:val="000000"/>
                <w:sz w:val="16"/>
                <w:szCs w:val="16"/>
                <w:lang w:eastAsia="en-GB"/>
              </w:rPr>
            </w:pPr>
            <w:r w:rsidRPr="002F510A">
              <w:rPr>
                <w:b/>
                <w:bCs/>
                <w:color w:val="000000"/>
                <w:sz w:val="16"/>
                <w:szCs w:val="16"/>
                <w:lang w:eastAsia="en-GB"/>
              </w:rPr>
              <w:t>232.772.589</w:t>
            </w:r>
          </w:p>
        </w:tc>
        <w:tc>
          <w:tcPr>
            <w:tcW w:w="1160" w:type="dxa"/>
            <w:tcBorders>
              <w:top w:val="single" w:sz="8" w:space="0" w:color="auto"/>
              <w:left w:val="nil"/>
              <w:bottom w:val="single" w:sz="4" w:space="0" w:color="auto"/>
              <w:right w:val="single" w:sz="4" w:space="0" w:color="auto"/>
            </w:tcBorders>
            <w:shd w:val="clear" w:color="000000" w:fill="D9D9D9"/>
            <w:hideMark/>
          </w:tcPr>
          <w:p w:rsidR="002F510A" w:rsidRPr="002F510A" w:rsidRDefault="002F510A" w:rsidP="002F510A">
            <w:pPr>
              <w:jc w:val="right"/>
              <w:rPr>
                <w:b/>
                <w:bCs/>
                <w:color w:val="000000"/>
                <w:sz w:val="16"/>
                <w:szCs w:val="16"/>
                <w:lang w:eastAsia="en-GB"/>
              </w:rPr>
            </w:pPr>
            <w:r w:rsidRPr="002F510A">
              <w:rPr>
                <w:b/>
                <w:bCs/>
                <w:color w:val="000000"/>
                <w:sz w:val="16"/>
                <w:szCs w:val="16"/>
                <w:lang w:eastAsia="en-GB"/>
              </w:rPr>
              <w:t>200.856.329</w:t>
            </w:r>
          </w:p>
        </w:tc>
        <w:tc>
          <w:tcPr>
            <w:tcW w:w="1060" w:type="dxa"/>
            <w:tcBorders>
              <w:top w:val="single" w:sz="8" w:space="0" w:color="auto"/>
              <w:left w:val="nil"/>
              <w:bottom w:val="single" w:sz="4" w:space="0" w:color="auto"/>
              <w:right w:val="single" w:sz="4" w:space="0" w:color="auto"/>
            </w:tcBorders>
            <w:shd w:val="clear" w:color="000000" w:fill="D9D9D9"/>
            <w:noWrap/>
            <w:hideMark/>
          </w:tcPr>
          <w:p w:rsidR="002F510A" w:rsidRPr="002F510A" w:rsidRDefault="002F510A" w:rsidP="002F510A">
            <w:pPr>
              <w:jc w:val="right"/>
              <w:rPr>
                <w:b/>
                <w:bCs/>
                <w:sz w:val="16"/>
                <w:szCs w:val="16"/>
                <w:lang w:eastAsia="en-GB"/>
              </w:rPr>
            </w:pPr>
            <w:r w:rsidRPr="002F510A">
              <w:rPr>
                <w:b/>
                <w:bCs/>
                <w:sz w:val="16"/>
                <w:szCs w:val="16"/>
                <w:lang w:eastAsia="en-GB"/>
              </w:rPr>
              <w:t>21.543.640</w:t>
            </w:r>
          </w:p>
        </w:tc>
        <w:tc>
          <w:tcPr>
            <w:tcW w:w="1100" w:type="dxa"/>
            <w:tcBorders>
              <w:top w:val="single" w:sz="8" w:space="0" w:color="auto"/>
              <w:left w:val="nil"/>
              <w:bottom w:val="single" w:sz="4" w:space="0" w:color="auto"/>
              <w:right w:val="nil"/>
            </w:tcBorders>
            <w:shd w:val="clear" w:color="000000" w:fill="D9D9D9"/>
            <w:noWrap/>
            <w:hideMark/>
          </w:tcPr>
          <w:p w:rsidR="002F510A" w:rsidRPr="002F510A" w:rsidRDefault="002F510A" w:rsidP="002F510A">
            <w:pPr>
              <w:jc w:val="right"/>
              <w:rPr>
                <w:b/>
                <w:bCs/>
                <w:sz w:val="16"/>
                <w:szCs w:val="16"/>
                <w:lang w:eastAsia="en-GB"/>
              </w:rPr>
            </w:pPr>
            <w:r w:rsidRPr="002F510A">
              <w:rPr>
                <w:b/>
                <w:bCs/>
                <w:sz w:val="16"/>
                <w:szCs w:val="16"/>
                <w:lang w:eastAsia="en-GB"/>
              </w:rPr>
              <w:t>-31.916.260</w:t>
            </w:r>
          </w:p>
        </w:tc>
        <w:tc>
          <w:tcPr>
            <w:tcW w:w="960" w:type="dxa"/>
            <w:tcBorders>
              <w:top w:val="single" w:sz="8" w:space="0" w:color="auto"/>
              <w:left w:val="single" w:sz="4" w:space="0" w:color="auto"/>
              <w:bottom w:val="single" w:sz="4" w:space="0" w:color="auto"/>
              <w:right w:val="single" w:sz="8" w:space="0" w:color="auto"/>
            </w:tcBorders>
            <w:shd w:val="clear" w:color="000000" w:fill="D9D9D9"/>
            <w:noWrap/>
            <w:hideMark/>
          </w:tcPr>
          <w:p w:rsidR="002F510A" w:rsidRPr="002F510A" w:rsidRDefault="002F510A" w:rsidP="002F510A">
            <w:pPr>
              <w:jc w:val="right"/>
              <w:rPr>
                <w:b/>
                <w:bCs/>
                <w:sz w:val="16"/>
                <w:szCs w:val="16"/>
                <w:lang w:eastAsia="en-GB"/>
              </w:rPr>
            </w:pPr>
            <w:r w:rsidRPr="002F510A">
              <w:rPr>
                <w:b/>
                <w:bCs/>
                <w:sz w:val="16"/>
                <w:szCs w:val="16"/>
                <w:lang w:eastAsia="en-GB"/>
              </w:rPr>
              <w:t>-10.372.620</w:t>
            </w:r>
          </w:p>
        </w:tc>
      </w:tr>
      <w:tr w:rsidR="002F510A" w:rsidRPr="002F510A" w:rsidTr="002F510A">
        <w:trPr>
          <w:trHeight w:val="288"/>
        </w:trPr>
        <w:tc>
          <w:tcPr>
            <w:tcW w:w="3200" w:type="dxa"/>
            <w:tcBorders>
              <w:top w:val="single" w:sz="4" w:space="0" w:color="auto"/>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Akumulirani deficit iz prethodnih godina</w:t>
            </w:r>
          </w:p>
        </w:tc>
        <w:tc>
          <w:tcPr>
            <w:tcW w:w="104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jc w:val="right"/>
              <w:rPr>
                <w:b/>
                <w:bCs/>
                <w:color w:val="000000"/>
                <w:sz w:val="16"/>
                <w:szCs w:val="16"/>
                <w:lang w:eastAsia="en-GB"/>
              </w:rPr>
            </w:pPr>
            <w:r w:rsidRPr="002F510A">
              <w:rPr>
                <w:b/>
                <w:bCs/>
                <w:color w:val="000000"/>
                <w:sz w:val="16"/>
                <w:szCs w:val="16"/>
                <w:lang w:eastAsia="en-GB"/>
              </w:rPr>
              <w:t>5.100.000</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b/>
                <w:bCs/>
                <w:color w:val="000000"/>
                <w:sz w:val="16"/>
                <w:szCs w:val="16"/>
                <w:lang w:eastAsia="en-GB"/>
              </w:rPr>
            </w:pPr>
            <w:r w:rsidRPr="002F510A">
              <w:rPr>
                <w:b/>
                <w:bCs/>
                <w:color w:val="000000"/>
                <w:sz w:val="16"/>
                <w:szCs w:val="16"/>
                <w:lang w:eastAsia="en-GB"/>
              </w:rPr>
              <w:t>6.000.000</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b/>
                <w:bCs/>
                <w:color w:val="000000"/>
                <w:sz w:val="16"/>
                <w:szCs w:val="16"/>
                <w:lang w:eastAsia="en-GB"/>
              </w:rPr>
            </w:pPr>
            <w:r w:rsidRPr="002F510A">
              <w:rPr>
                <w:b/>
                <w:bCs/>
                <w:color w:val="000000"/>
                <w:sz w:val="16"/>
                <w:szCs w:val="16"/>
                <w:lang w:eastAsia="en-GB"/>
              </w:rPr>
              <w:t>6.000.000</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900.000</w:t>
            </w:r>
          </w:p>
        </w:tc>
        <w:tc>
          <w:tcPr>
            <w:tcW w:w="1100" w:type="dxa"/>
            <w:tcBorders>
              <w:top w:val="nil"/>
              <w:left w:val="nil"/>
              <w:bottom w:val="single" w:sz="4" w:space="0" w:color="auto"/>
              <w:right w:val="nil"/>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0</w:t>
            </w:r>
          </w:p>
        </w:tc>
        <w:tc>
          <w:tcPr>
            <w:tcW w:w="960" w:type="dxa"/>
            <w:tcBorders>
              <w:top w:val="nil"/>
              <w:left w:val="single" w:sz="4" w:space="0" w:color="auto"/>
              <w:bottom w:val="single" w:sz="4" w:space="0" w:color="auto"/>
              <w:right w:val="single" w:sz="8"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900.000</w:t>
            </w:r>
          </w:p>
        </w:tc>
      </w:tr>
      <w:tr w:rsidR="002F510A" w:rsidRPr="002F510A" w:rsidTr="002F510A">
        <w:trPr>
          <w:trHeight w:val="288"/>
        </w:trPr>
        <w:tc>
          <w:tcPr>
            <w:tcW w:w="320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rPr>
                <w:color w:val="000000"/>
                <w:sz w:val="16"/>
                <w:szCs w:val="16"/>
                <w:lang w:eastAsia="en-GB"/>
              </w:rPr>
            </w:pPr>
            <w:r w:rsidRPr="002F510A">
              <w:rPr>
                <w:color w:val="000000"/>
                <w:sz w:val="16"/>
                <w:szCs w:val="16"/>
                <w:lang w:eastAsia="en-GB"/>
              </w:rPr>
              <w:t>Tekuća rezerva</w:t>
            </w:r>
          </w:p>
        </w:tc>
        <w:tc>
          <w:tcPr>
            <w:tcW w:w="1040" w:type="dxa"/>
            <w:tcBorders>
              <w:top w:val="nil"/>
              <w:left w:val="single" w:sz="4" w:space="0" w:color="auto"/>
              <w:bottom w:val="single" w:sz="4" w:space="0" w:color="auto"/>
              <w:right w:val="single" w:sz="4" w:space="0" w:color="auto"/>
            </w:tcBorders>
            <w:shd w:val="clear" w:color="auto" w:fill="auto"/>
            <w:hideMark/>
          </w:tcPr>
          <w:p w:rsidR="002F510A" w:rsidRPr="002F510A" w:rsidRDefault="002F510A" w:rsidP="002F510A">
            <w:pPr>
              <w:jc w:val="right"/>
              <w:rPr>
                <w:b/>
                <w:bCs/>
                <w:color w:val="000000"/>
                <w:sz w:val="16"/>
                <w:szCs w:val="16"/>
                <w:lang w:eastAsia="en-GB"/>
              </w:rPr>
            </w:pPr>
            <w:r w:rsidRPr="002F510A">
              <w:rPr>
                <w:b/>
                <w:bCs/>
                <w:color w:val="000000"/>
                <w:sz w:val="16"/>
                <w:szCs w:val="16"/>
                <w:lang w:eastAsia="en-GB"/>
              </w:rPr>
              <w:t>200.000</w:t>
            </w:r>
          </w:p>
        </w:tc>
        <w:tc>
          <w:tcPr>
            <w:tcW w:w="1040" w:type="dxa"/>
            <w:tcBorders>
              <w:top w:val="nil"/>
              <w:left w:val="nil"/>
              <w:bottom w:val="single" w:sz="4" w:space="0" w:color="auto"/>
              <w:right w:val="single" w:sz="4" w:space="0" w:color="auto"/>
            </w:tcBorders>
            <w:shd w:val="clear" w:color="auto" w:fill="auto"/>
            <w:hideMark/>
          </w:tcPr>
          <w:p w:rsidR="002F510A" w:rsidRPr="002F510A" w:rsidRDefault="002F510A" w:rsidP="002F510A">
            <w:pPr>
              <w:jc w:val="right"/>
              <w:rPr>
                <w:b/>
                <w:bCs/>
                <w:color w:val="000000"/>
                <w:sz w:val="16"/>
                <w:szCs w:val="16"/>
                <w:lang w:eastAsia="en-GB"/>
              </w:rPr>
            </w:pPr>
            <w:r w:rsidRPr="002F510A">
              <w:rPr>
                <w:b/>
                <w:bCs/>
                <w:color w:val="000000"/>
                <w:sz w:val="16"/>
                <w:szCs w:val="16"/>
                <w:lang w:eastAsia="en-GB"/>
              </w:rPr>
              <w:t>200.000</w:t>
            </w:r>
          </w:p>
        </w:tc>
        <w:tc>
          <w:tcPr>
            <w:tcW w:w="1160" w:type="dxa"/>
            <w:tcBorders>
              <w:top w:val="nil"/>
              <w:left w:val="nil"/>
              <w:bottom w:val="single" w:sz="4" w:space="0" w:color="auto"/>
              <w:right w:val="single" w:sz="4" w:space="0" w:color="auto"/>
            </w:tcBorders>
            <w:shd w:val="clear" w:color="000000" w:fill="D9D9D9"/>
            <w:hideMark/>
          </w:tcPr>
          <w:p w:rsidR="002F510A" w:rsidRPr="002F510A" w:rsidRDefault="002F510A" w:rsidP="002F510A">
            <w:pPr>
              <w:jc w:val="right"/>
              <w:rPr>
                <w:b/>
                <w:bCs/>
                <w:color w:val="000000"/>
                <w:sz w:val="16"/>
                <w:szCs w:val="16"/>
                <w:lang w:eastAsia="en-GB"/>
              </w:rPr>
            </w:pPr>
            <w:r w:rsidRPr="002F510A">
              <w:rPr>
                <w:b/>
                <w:bCs/>
                <w:color w:val="000000"/>
                <w:sz w:val="16"/>
                <w:szCs w:val="16"/>
                <w:lang w:eastAsia="en-GB"/>
              </w:rPr>
              <w:t>100.000</w:t>
            </w:r>
          </w:p>
        </w:tc>
        <w:tc>
          <w:tcPr>
            <w:tcW w:w="1060" w:type="dxa"/>
            <w:tcBorders>
              <w:top w:val="nil"/>
              <w:left w:val="nil"/>
              <w:bottom w:val="single" w:sz="4" w:space="0" w:color="auto"/>
              <w:right w:val="single" w:sz="4"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0</w:t>
            </w:r>
          </w:p>
        </w:tc>
        <w:tc>
          <w:tcPr>
            <w:tcW w:w="1100" w:type="dxa"/>
            <w:tcBorders>
              <w:top w:val="nil"/>
              <w:left w:val="nil"/>
              <w:bottom w:val="single" w:sz="4" w:space="0" w:color="auto"/>
              <w:right w:val="nil"/>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-100.000</w:t>
            </w:r>
          </w:p>
        </w:tc>
        <w:tc>
          <w:tcPr>
            <w:tcW w:w="960" w:type="dxa"/>
            <w:tcBorders>
              <w:top w:val="nil"/>
              <w:left w:val="single" w:sz="4" w:space="0" w:color="auto"/>
              <w:bottom w:val="single" w:sz="4" w:space="0" w:color="auto"/>
              <w:right w:val="single" w:sz="8" w:space="0" w:color="auto"/>
            </w:tcBorders>
            <w:shd w:val="clear" w:color="auto" w:fill="auto"/>
            <w:noWrap/>
            <w:hideMark/>
          </w:tcPr>
          <w:p w:rsidR="002F510A" w:rsidRPr="002F510A" w:rsidRDefault="002F510A" w:rsidP="002F510A">
            <w:pPr>
              <w:jc w:val="right"/>
              <w:rPr>
                <w:b/>
                <w:bCs/>
                <w:sz w:val="16"/>
                <w:szCs w:val="16"/>
                <w:lang w:eastAsia="en-GB"/>
              </w:rPr>
            </w:pPr>
            <w:r w:rsidRPr="002F510A">
              <w:rPr>
                <w:b/>
                <w:bCs/>
                <w:sz w:val="16"/>
                <w:szCs w:val="16"/>
                <w:lang w:eastAsia="en-GB"/>
              </w:rPr>
              <w:t>-100.000</w:t>
            </w:r>
          </w:p>
        </w:tc>
      </w:tr>
      <w:tr w:rsidR="002F510A" w:rsidRPr="002F510A" w:rsidTr="002F510A">
        <w:trPr>
          <w:trHeight w:val="300"/>
        </w:trPr>
        <w:tc>
          <w:tcPr>
            <w:tcW w:w="3200" w:type="dxa"/>
            <w:tcBorders>
              <w:top w:val="nil"/>
              <w:left w:val="single" w:sz="8" w:space="0" w:color="auto"/>
              <w:bottom w:val="single" w:sz="8" w:space="0" w:color="auto"/>
              <w:right w:val="nil"/>
            </w:tcBorders>
            <w:shd w:val="clear" w:color="D3D3D3" w:fill="D3D3D3"/>
            <w:hideMark/>
          </w:tcPr>
          <w:p w:rsidR="002F510A" w:rsidRPr="002F510A" w:rsidRDefault="002F510A" w:rsidP="002F510A">
            <w:pPr>
              <w:rPr>
                <w:b/>
                <w:bCs/>
                <w:color w:val="000000"/>
                <w:sz w:val="16"/>
                <w:szCs w:val="16"/>
                <w:lang w:eastAsia="en-GB"/>
              </w:rPr>
            </w:pPr>
            <w:r w:rsidRPr="002F510A">
              <w:rPr>
                <w:b/>
                <w:bCs/>
                <w:color w:val="000000"/>
                <w:sz w:val="16"/>
                <w:szCs w:val="16"/>
                <w:lang w:eastAsia="en-GB"/>
              </w:rPr>
              <w:t>UKUPNO:</w:t>
            </w:r>
          </w:p>
        </w:tc>
        <w:tc>
          <w:tcPr>
            <w:tcW w:w="1040" w:type="dxa"/>
            <w:tcBorders>
              <w:top w:val="nil"/>
              <w:left w:val="single" w:sz="4" w:space="0" w:color="auto"/>
              <w:bottom w:val="single" w:sz="8" w:space="0" w:color="auto"/>
              <w:right w:val="single" w:sz="4" w:space="0" w:color="auto"/>
            </w:tcBorders>
            <w:shd w:val="clear" w:color="D3D3D3" w:fill="D3D3D3"/>
            <w:hideMark/>
          </w:tcPr>
          <w:p w:rsidR="002F510A" w:rsidRPr="002F510A" w:rsidRDefault="002F510A" w:rsidP="002F510A">
            <w:pPr>
              <w:jc w:val="right"/>
              <w:rPr>
                <w:b/>
                <w:bCs/>
                <w:color w:val="000000"/>
                <w:sz w:val="16"/>
                <w:szCs w:val="16"/>
                <w:lang w:eastAsia="en-GB"/>
              </w:rPr>
            </w:pPr>
            <w:r w:rsidRPr="002F510A">
              <w:rPr>
                <w:b/>
                <w:bCs/>
                <w:color w:val="000000"/>
                <w:sz w:val="16"/>
                <w:szCs w:val="16"/>
                <w:lang w:eastAsia="en-GB"/>
              </w:rPr>
              <w:t>216.528.949</w:t>
            </w:r>
          </w:p>
        </w:tc>
        <w:tc>
          <w:tcPr>
            <w:tcW w:w="1040" w:type="dxa"/>
            <w:tcBorders>
              <w:top w:val="nil"/>
              <w:left w:val="nil"/>
              <w:bottom w:val="single" w:sz="8" w:space="0" w:color="auto"/>
              <w:right w:val="single" w:sz="4" w:space="0" w:color="auto"/>
            </w:tcBorders>
            <w:shd w:val="clear" w:color="D3D3D3" w:fill="D3D3D3"/>
            <w:hideMark/>
          </w:tcPr>
          <w:p w:rsidR="002F510A" w:rsidRPr="002F510A" w:rsidRDefault="002F510A" w:rsidP="002F510A">
            <w:pPr>
              <w:jc w:val="right"/>
              <w:rPr>
                <w:b/>
                <w:bCs/>
                <w:color w:val="000000"/>
                <w:sz w:val="16"/>
                <w:szCs w:val="16"/>
                <w:lang w:eastAsia="en-GB"/>
              </w:rPr>
            </w:pPr>
            <w:r w:rsidRPr="002F510A">
              <w:rPr>
                <w:b/>
                <w:bCs/>
                <w:color w:val="000000"/>
                <w:sz w:val="16"/>
                <w:szCs w:val="16"/>
                <w:lang w:eastAsia="en-GB"/>
              </w:rPr>
              <w:t>238.972.589</w:t>
            </w:r>
          </w:p>
        </w:tc>
        <w:tc>
          <w:tcPr>
            <w:tcW w:w="1160" w:type="dxa"/>
            <w:tcBorders>
              <w:top w:val="nil"/>
              <w:left w:val="nil"/>
              <w:bottom w:val="single" w:sz="8" w:space="0" w:color="auto"/>
              <w:right w:val="single" w:sz="4" w:space="0" w:color="auto"/>
            </w:tcBorders>
            <w:shd w:val="clear" w:color="D3D3D3" w:fill="D9D9D9"/>
            <w:hideMark/>
          </w:tcPr>
          <w:p w:rsidR="002F510A" w:rsidRPr="002F510A" w:rsidRDefault="002F510A" w:rsidP="002F510A">
            <w:pPr>
              <w:jc w:val="right"/>
              <w:rPr>
                <w:b/>
                <w:bCs/>
                <w:color w:val="000000"/>
                <w:sz w:val="16"/>
                <w:szCs w:val="16"/>
                <w:lang w:eastAsia="en-GB"/>
              </w:rPr>
            </w:pPr>
            <w:r w:rsidRPr="002F510A">
              <w:rPr>
                <w:b/>
                <w:bCs/>
                <w:color w:val="000000"/>
                <w:sz w:val="16"/>
                <w:szCs w:val="16"/>
                <w:lang w:eastAsia="en-GB"/>
              </w:rPr>
              <w:t>206.956.329</w:t>
            </w:r>
          </w:p>
        </w:tc>
        <w:tc>
          <w:tcPr>
            <w:tcW w:w="1060" w:type="dxa"/>
            <w:tcBorders>
              <w:top w:val="nil"/>
              <w:left w:val="nil"/>
              <w:bottom w:val="single" w:sz="8" w:space="0" w:color="auto"/>
              <w:right w:val="single" w:sz="4" w:space="0" w:color="auto"/>
            </w:tcBorders>
            <w:shd w:val="clear" w:color="000000" w:fill="D9D9D9"/>
            <w:noWrap/>
            <w:hideMark/>
          </w:tcPr>
          <w:p w:rsidR="002F510A" w:rsidRPr="002F510A" w:rsidRDefault="002F510A" w:rsidP="002F510A">
            <w:pPr>
              <w:jc w:val="right"/>
              <w:rPr>
                <w:b/>
                <w:bCs/>
                <w:sz w:val="16"/>
                <w:szCs w:val="16"/>
                <w:lang w:eastAsia="en-GB"/>
              </w:rPr>
            </w:pPr>
            <w:r w:rsidRPr="002F510A">
              <w:rPr>
                <w:b/>
                <w:bCs/>
                <w:sz w:val="16"/>
                <w:szCs w:val="16"/>
                <w:lang w:eastAsia="en-GB"/>
              </w:rPr>
              <w:t>22.443.640</w:t>
            </w:r>
          </w:p>
        </w:tc>
        <w:tc>
          <w:tcPr>
            <w:tcW w:w="1100" w:type="dxa"/>
            <w:tcBorders>
              <w:top w:val="nil"/>
              <w:left w:val="nil"/>
              <w:bottom w:val="single" w:sz="8" w:space="0" w:color="auto"/>
              <w:right w:val="nil"/>
            </w:tcBorders>
            <w:shd w:val="clear" w:color="000000" w:fill="D9D9D9"/>
            <w:noWrap/>
            <w:hideMark/>
          </w:tcPr>
          <w:p w:rsidR="002F510A" w:rsidRPr="002F510A" w:rsidRDefault="002F510A" w:rsidP="002F510A">
            <w:pPr>
              <w:jc w:val="right"/>
              <w:rPr>
                <w:b/>
                <w:bCs/>
                <w:sz w:val="16"/>
                <w:szCs w:val="16"/>
                <w:lang w:eastAsia="en-GB"/>
              </w:rPr>
            </w:pPr>
            <w:r w:rsidRPr="002F510A">
              <w:rPr>
                <w:b/>
                <w:bCs/>
                <w:sz w:val="16"/>
                <w:szCs w:val="16"/>
                <w:lang w:eastAsia="en-GB"/>
              </w:rPr>
              <w:t>-32.016.260</w:t>
            </w:r>
          </w:p>
        </w:tc>
        <w:tc>
          <w:tcPr>
            <w:tcW w:w="960" w:type="dxa"/>
            <w:tcBorders>
              <w:top w:val="nil"/>
              <w:left w:val="single" w:sz="4" w:space="0" w:color="auto"/>
              <w:bottom w:val="single" w:sz="8" w:space="0" w:color="auto"/>
              <w:right w:val="single" w:sz="8" w:space="0" w:color="auto"/>
            </w:tcBorders>
            <w:shd w:val="clear" w:color="000000" w:fill="D9D9D9"/>
            <w:noWrap/>
            <w:hideMark/>
          </w:tcPr>
          <w:p w:rsidR="002F510A" w:rsidRPr="002F510A" w:rsidRDefault="002F510A" w:rsidP="002F510A">
            <w:pPr>
              <w:jc w:val="right"/>
              <w:rPr>
                <w:b/>
                <w:bCs/>
                <w:sz w:val="16"/>
                <w:szCs w:val="16"/>
                <w:lang w:eastAsia="en-GB"/>
              </w:rPr>
            </w:pPr>
            <w:r w:rsidRPr="002F510A">
              <w:rPr>
                <w:b/>
                <w:bCs/>
                <w:sz w:val="16"/>
                <w:szCs w:val="16"/>
                <w:lang w:eastAsia="en-GB"/>
              </w:rPr>
              <w:t>-9.572.620</w:t>
            </w:r>
          </w:p>
        </w:tc>
      </w:tr>
    </w:tbl>
    <w:p w:rsidR="002F510A" w:rsidRDefault="002F510A" w:rsidP="005C0CD1"/>
    <w:p w:rsidR="002F510A" w:rsidRDefault="002F510A" w:rsidP="005C0CD1"/>
    <w:p w:rsidR="008142A2" w:rsidRDefault="008142A2" w:rsidP="008142A2">
      <w:pPr>
        <w:jc w:val="both"/>
        <w:rPr>
          <w:sz w:val="24"/>
          <w:szCs w:val="24"/>
          <w:lang w:val="fr-FR"/>
        </w:rPr>
      </w:pPr>
      <w:r>
        <w:rPr>
          <w:sz w:val="24"/>
          <w:szCs w:val="24"/>
          <w:lang w:val="fr-FR"/>
        </w:rPr>
        <w:t>Poštujući sve navedene činjenice,  početni budžetski plafoni za 20</w:t>
      </w:r>
      <w:r w:rsidR="001D3F67">
        <w:rPr>
          <w:sz w:val="24"/>
          <w:szCs w:val="24"/>
          <w:lang w:val="fr-FR"/>
        </w:rPr>
        <w:t>2</w:t>
      </w:r>
      <w:r w:rsidR="002F510A">
        <w:rPr>
          <w:sz w:val="24"/>
          <w:szCs w:val="24"/>
          <w:lang w:val="fr-FR"/>
        </w:rPr>
        <w:t>1</w:t>
      </w:r>
      <w:r>
        <w:rPr>
          <w:sz w:val="24"/>
          <w:szCs w:val="24"/>
          <w:lang w:val="fr-FR"/>
        </w:rPr>
        <w:t xml:space="preserve">. godinu </w:t>
      </w:r>
      <w:r w:rsidR="007B4781">
        <w:rPr>
          <w:sz w:val="24"/>
          <w:szCs w:val="24"/>
          <w:lang w:val="fr-FR"/>
        </w:rPr>
        <w:t xml:space="preserve">( a odnose se na budžetska sredstva – </w:t>
      </w:r>
      <w:r w:rsidR="009258EB">
        <w:rPr>
          <w:sz w:val="24"/>
          <w:szCs w:val="24"/>
          <w:lang w:val="fr-FR"/>
        </w:rPr>
        <w:t>i</w:t>
      </w:r>
      <w:r w:rsidR="007B4781">
        <w:rPr>
          <w:sz w:val="24"/>
          <w:szCs w:val="24"/>
          <w:lang w:val="fr-FR"/>
        </w:rPr>
        <w:t xml:space="preserve">zvor 10) </w:t>
      </w:r>
      <w:r>
        <w:rPr>
          <w:sz w:val="24"/>
          <w:szCs w:val="24"/>
          <w:lang w:val="fr-FR"/>
        </w:rPr>
        <w:t xml:space="preserve">služe kao input za okvir </w:t>
      </w:r>
      <w:r w:rsidRPr="00A409A4">
        <w:rPr>
          <w:b/>
          <w:bCs/>
          <w:sz w:val="24"/>
          <w:szCs w:val="24"/>
          <w:lang w:val="fr-FR"/>
        </w:rPr>
        <w:t>unutar</w:t>
      </w:r>
      <w:r>
        <w:rPr>
          <w:sz w:val="24"/>
          <w:szCs w:val="24"/>
          <w:lang w:val="fr-FR"/>
        </w:rPr>
        <w:t xml:space="preserve">  kojeg resorna ministarstva i ostali budžetski korisnici mogu </w:t>
      </w:r>
      <w:r w:rsidR="00C2476F">
        <w:rPr>
          <w:sz w:val="24"/>
          <w:szCs w:val="24"/>
          <w:lang w:val="fr-FR"/>
        </w:rPr>
        <w:t>razviti svoje detaljne zahtjeve za budžet 20</w:t>
      </w:r>
      <w:r w:rsidR="001D3F67">
        <w:rPr>
          <w:sz w:val="24"/>
          <w:szCs w:val="24"/>
          <w:lang w:val="fr-FR"/>
        </w:rPr>
        <w:t>2</w:t>
      </w:r>
      <w:r w:rsidR="002F510A">
        <w:rPr>
          <w:sz w:val="24"/>
          <w:szCs w:val="24"/>
          <w:lang w:val="fr-FR"/>
        </w:rPr>
        <w:t>1</w:t>
      </w:r>
      <w:r w:rsidR="00C2476F">
        <w:rPr>
          <w:sz w:val="24"/>
          <w:szCs w:val="24"/>
          <w:lang w:val="fr-FR"/>
        </w:rPr>
        <w:t xml:space="preserve">. </w:t>
      </w:r>
      <w:r w:rsidR="001D3F91">
        <w:rPr>
          <w:sz w:val="24"/>
          <w:szCs w:val="24"/>
          <w:lang w:val="fr-FR"/>
        </w:rPr>
        <w:t>g</w:t>
      </w:r>
      <w:r w:rsidR="00C2476F">
        <w:rPr>
          <w:sz w:val="24"/>
          <w:szCs w:val="24"/>
          <w:lang w:val="fr-FR"/>
        </w:rPr>
        <w:t>odine.</w:t>
      </w:r>
    </w:p>
    <w:p w:rsidR="00A60F61" w:rsidRDefault="00A60F61" w:rsidP="008142A2">
      <w:pPr>
        <w:jc w:val="both"/>
        <w:rPr>
          <w:sz w:val="24"/>
          <w:szCs w:val="24"/>
          <w:lang w:val="fr-FR"/>
        </w:rPr>
      </w:pPr>
      <w:r>
        <w:rPr>
          <w:sz w:val="24"/>
          <w:szCs w:val="24"/>
          <w:lang w:val="fr-FR"/>
        </w:rPr>
        <w:t>Eventualna povećanja budžetskih ogran</w:t>
      </w:r>
      <w:r w:rsidR="009E3EA8">
        <w:rPr>
          <w:sz w:val="24"/>
          <w:szCs w:val="24"/>
          <w:lang w:val="fr-FR"/>
        </w:rPr>
        <w:t>ičenja mogu se samo ostvariti na osnovu više planiranih vlastitih ili namjenskih prihoda</w:t>
      </w:r>
      <w:r w:rsidR="009258EB">
        <w:rPr>
          <w:sz w:val="24"/>
          <w:szCs w:val="24"/>
          <w:lang w:val="fr-FR"/>
        </w:rPr>
        <w:t xml:space="preserve"> ( izvor 20 i izvor 30 )</w:t>
      </w:r>
      <w:r w:rsidR="009E3EA8">
        <w:rPr>
          <w:sz w:val="24"/>
          <w:szCs w:val="24"/>
          <w:lang w:val="fr-FR"/>
        </w:rPr>
        <w:t xml:space="preserve">, te </w:t>
      </w:r>
      <w:r w:rsidR="009258EB">
        <w:rPr>
          <w:sz w:val="24"/>
          <w:szCs w:val="24"/>
          <w:lang w:val="fr-FR"/>
        </w:rPr>
        <w:t xml:space="preserve">je </w:t>
      </w:r>
      <w:r w:rsidR="00246696">
        <w:rPr>
          <w:sz w:val="24"/>
          <w:szCs w:val="24"/>
          <w:lang w:val="fr-FR"/>
        </w:rPr>
        <w:t xml:space="preserve">na tim </w:t>
      </w:r>
      <w:r w:rsidR="009E3EA8">
        <w:rPr>
          <w:sz w:val="24"/>
          <w:szCs w:val="24"/>
          <w:lang w:val="fr-FR"/>
        </w:rPr>
        <w:t xml:space="preserve"> korisni</w:t>
      </w:r>
      <w:r w:rsidR="00246696">
        <w:rPr>
          <w:sz w:val="24"/>
          <w:szCs w:val="24"/>
          <w:lang w:val="fr-FR"/>
        </w:rPr>
        <w:t xml:space="preserve">cima </w:t>
      </w:r>
      <w:r w:rsidR="009258EB">
        <w:rPr>
          <w:sz w:val="24"/>
          <w:szCs w:val="24"/>
          <w:lang w:val="fr-FR"/>
        </w:rPr>
        <w:t xml:space="preserve"> pravo da </w:t>
      </w:r>
      <w:r w:rsidR="009E3EA8">
        <w:rPr>
          <w:sz w:val="24"/>
          <w:szCs w:val="24"/>
          <w:lang w:val="fr-FR"/>
        </w:rPr>
        <w:t xml:space="preserve"> izvrši korekcije ograničenja kroz e-budget aplikaciju. </w:t>
      </w:r>
    </w:p>
    <w:p w:rsidR="00756D58" w:rsidRDefault="00756D58"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A409A4" w:rsidRDefault="00A409A4" w:rsidP="008142A2">
      <w:pPr>
        <w:jc w:val="both"/>
        <w:rPr>
          <w:sz w:val="24"/>
          <w:szCs w:val="24"/>
          <w:lang w:val="fr-FR"/>
        </w:rPr>
      </w:pPr>
    </w:p>
    <w:p w:rsidR="0009017D" w:rsidRPr="00B56A2E" w:rsidRDefault="000C0654" w:rsidP="005F4526">
      <w:pPr>
        <w:pStyle w:val="Heading1"/>
        <w:rPr>
          <w:rStyle w:val="EndnoteTextChar"/>
          <w:bCs w:val="0"/>
          <w:sz w:val="28"/>
        </w:rPr>
      </w:pPr>
      <w:bookmarkStart w:id="88" w:name="_Toc266777684"/>
      <w:bookmarkStart w:id="89" w:name="_Toc266779179"/>
      <w:bookmarkStart w:id="90" w:name="_Toc422899940"/>
      <w:r w:rsidRPr="00F333F1">
        <w:rPr>
          <w:rFonts w:ascii="Times New Roman" w:hAnsi="Times New Roman" w:cs="Times New Roman"/>
          <w:sz w:val="28"/>
          <w:szCs w:val="28"/>
        </w:rPr>
        <w:lastRenderedPageBreak/>
        <w:t>II</w:t>
      </w:r>
      <w:r w:rsidR="00126B16" w:rsidRPr="00F333F1">
        <w:rPr>
          <w:rFonts w:ascii="Times New Roman" w:hAnsi="Times New Roman" w:cs="Times New Roman"/>
          <w:sz w:val="28"/>
          <w:szCs w:val="28"/>
        </w:rPr>
        <w:t xml:space="preserve">  Z A K LJ U Č A K</w:t>
      </w:r>
      <w:bookmarkEnd w:id="88"/>
      <w:bookmarkEnd w:id="89"/>
      <w:bookmarkEnd w:id="90"/>
    </w:p>
    <w:p w:rsidR="00F9638D" w:rsidRDefault="002E3D6C" w:rsidP="002E3D6C">
      <w:pPr>
        <w:jc w:val="both"/>
        <w:rPr>
          <w:sz w:val="24"/>
          <w:szCs w:val="24"/>
          <w:lang w:val="bs-Latn-BA"/>
        </w:rPr>
      </w:pPr>
      <w:r>
        <w:rPr>
          <w:sz w:val="24"/>
          <w:szCs w:val="24"/>
          <w:lang w:val="it-IT"/>
        </w:rPr>
        <w:t xml:space="preserve">       </w:t>
      </w:r>
      <w:r w:rsidR="0009017D" w:rsidRPr="000134E1">
        <w:rPr>
          <w:sz w:val="24"/>
          <w:szCs w:val="24"/>
          <w:lang w:val="it-IT"/>
        </w:rPr>
        <w:t>Imperativ</w:t>
      </w:r>
      <w:r w:rsidR="0009017D" w:rsidRPr="000134E1">
        <w:rPr>
          <w:sz w:val="24"/>
          <w:szCs w:val="24"/>
          <w:lang w:val="bs-Latn-BA"/>
        </w:rPr>
        <w:t xml:space="preserve"> </w:t>
      </w:r>
      <w:r w:rsidR="0009017D" w:rsidRPr="000134E1">
        <w:rPr>
          <w:sz w:val="24"/>
          <w:szCs w:val="24"/>
          <w:lang w:val="it-IT"/>
        </w:rPr>
        <w:t>na</w:t>
      </w:r>
      <w:r w:rsidR="0009017D" w:rsidRPr="000134E1">
        <w:rPr>
          <w:sz w:val="24"/>
          <w:szCs w:val="24"/>
          <w:lang w:val="bs-Latn-BA"/>
        </w:rPr>
        <w:t xml:space="preserve"> </w:t>
      </w:r>
      <w:r w:rsidR="0009017D" w:rsidRPr="000134E1">
        <w:rPr>
          <w:sz w:val="24"/>
          <w:szCs w:val="24"/>
          <w:lang w:val="hr-HR"/>
        </w:rPr>
        <w:t xml:space="preserve">Vladi Unsko – sanskog kantona </w:t>
      </w:r>
      <w:r w:rsidR="0009017D" w:rsidRPr="000134E1">
        <w:rPr>
          <w:sz w:val="24"/>
          <w:szCs w:val="24"/>
          <w:lang w:val="it-IT"/>
        </w:rPr>
        <w:t>je</w:t>
      </w:r>
      <w:r w:rsidR="0009017D" w:rsidRPr="000134E1">
        <w:rPr>
          <w:sz w:val="24"/>
          <w:szCs w:val="24"/>
          <w:lang w:val="bs-Latn-BA"/>
        </w:rPr>
        <w:t xml:space="preserve"> </w:t>
      </w:r>
      <w:r w:rsidR="0009017D" w:rsidRPr="000134E1">
        <w:rPr>
          <w:sz w:val="24"/>
          <w:szCs w:val="24"/>
          <w:lang w:val="it-IT"/>
        </w:rPr>
        <w:t>da</w:t>
      </w:r>
      <w:r w:rsidR="0009017D" w:rsidRPr="000134E1">
        <w:rPr>
          <w:sz w:val="24"/>
          <w:szCs w:val="24"/>
          <w:lang w:val="bs-Latn-BA"/>
        </w:rPr>
        <w:t xml:space="preserve"> </w:t>
      </w:r>
      <w:r w:rsidR="0009017D" w:rsidRPr="000134E1">
        <w:rPr>
          <w:sz w:val="24"/>
          <w:szCs w:val="24"/>
          <w:lang w:val="it-IT"/>
        </w:rPr>
        <w:t>se</w:t>
      </w:r>
      <w:r w:rsidR="0009017D" w:rsidRPr="000134E1">
        <w:rPr>
          <w:sz w:val="24"/>
          <w:szCs w:val="24"/>
          <w:lang w:val="bs-Latn-BA"/>
        </w:rPr>
        <w:t xml:space="preserve"> o</w:t>
      </w:r>
      <w:r w:rsidR="0009017D" w:rsidRPr="000134E1">
        <w:rPr>
          <w:sz w:val="24"/>
          <w:szCs w:val="24"/>
          <w:lang w:val="it-IT"/>
        </w:rPr>
        <w:t>dupr</w:t>
      </w:r>
      <w:r w:rsidR="0009017D">
        <w:rPr>
          <w:sz w:val="24"/>
          <w:szCs w:val="24"/>
          <w:lang w:val="it-IT"/>
        </w:rPr>
        <w:t>e</w:t>
      </w:r>
      <w:r w:rsidR="0009017D" w:rsidRPr="000134E1">
        <w:rPr>
          <w:sz w:val="24"/>
          <w:szCs w:val="24"/>
          <w:lang w:val="bs-Latn-BA"/>
        </w:rPr>
        <w:t xml:space="preserve"> </w:t>
      </w:r>
      <w:r w:rsidR="0009017D" w:rsidRPr="000134E1">
        <w:rPr>
          <w:sz w:val="24"/>
          <w:szCs w:val="24"/>
          <w:lang w:val="it-IT"/>
        </w:rPr>
        <w:t>isku</w:t>
      </w:r>
      <w:r w:rsidR="0009017D" w:rsidRPr="000134E1">
        <w:rPr>
          <w:sz w:val="24"/>
          <w:szCs w:val="24"/>
          <w:lang w:val="bs-Latn-BA"/>
        </w:rPr>
        <w:t>š</w:t>
      </w:r>
      <w:r w:rsidR="0009017D" w:rsidRPr="000134E1">
        <w:rPr>
          <w:sz w:val="24"/>
          <w:szCs w:val="24"/>
          <w:lang w:val="it-IT"/>
        </w:rPr>
        <w:t>enju</w:t>
      </w:r>
      <w:r w:rsidR="0009017D" w:rsidRPr="000134E1">
        <w:rPr>
          <w:sz w:val="24"/>
          <w:szCs w:val="24"/>
          <w:lang w:val="bs-Latn-BA"/>
        </w:rPr>
        <w:t xml:space="preserve"> </w:t>
      </w:r>
      <w:r w:rsidR="0009017D" w:rsidRPr="000134E1">
        <w:rPr>
          <w:sz w:val="24"/>
          <w:szCs w:val="24"/>
          <w:lang w:val="it-IT"/>
        </w:rPr>
        <w:t>pove</w:t>
      </w:r>
      <w:r w:rsidR="0009017D" w:rsidRPr="000134E1">
        <w:rPr>
          <w:sz w:val="24"/>
          <w:szCs w:val="24"/>
          <w:lang w:val="bs-Latn-BA"/>
        </w:rPr>
        <w:t>ć</w:t>
      </w:r>
      <w:r w:rsidR="0009017D" w:rsidRPr="000134E1">
        <w:rPr>
          <w:sz w:val="24"/>
          <w:szCs w:val="24"/>
          <w:lang w:val="it-IT"/>
        </w:rPr>
        <w:t>avanja</w:t>
      </w:r>
      <w:r w:rsidR="0009017D" w:rsidRPr="000134E1">
        <w:rPr>
          <w:sz w:val="24"/>
          <w:szCs w:val="24"/>
          <w:lang w:val="bs-Latn-BA"/>
        </w:rPr>
        <w:t xml:space="preserve"> </w:t>
      </w:r>
      <w:r w:rsidR="0009017D" w:rsidRPr="000134E1">
        <w:rPr>
          <w:sz w:val="24"/>
          <w:szCs w:val="24"/>
          <w:lang w:val="it-IT"/>
        </w:rPr>
        <w:t>vladine</w:t>
      </w:r>
      <w:r w:rsidR="0009017D" w:rsidRPr="000134E1">
        <w:rPr>
          <w:sz w:val="24"/>
          <w:szCs w:val="24"/>
          <w:lang w:val="bs-Latn-BA"/>
        </w:rPr>
        <w:t xml:space="preserve"> </w:t>
      </w:r>
      <w:r w:rsidR="0009017D" w:rsidRPr="000134E1">
        <w:rPr>
          <w:sz w:val="24"/>
          <w:szCs w:val="24"/>
          <w:lang w:val="it-IT"/>
        </w:rPr>
        <w:t>potro</w:t>
      </w:r>
      <w:r w:rsidR="0009017D" w:rsidRPr="000134E1">
        <w:rPr>
          <w:sz w:val="24"/>
          <w:szCs w:val="24"/>
          <w:lang w:val="bs-Latn-BA"/>
        </w:rPr>
        <w:t>š</w:t>
      </w:r>
      <w:r w:rsidR="0009017D" w:rsidRPr="000134E1">
        <w:rPr>
          <w:sz w:val="24"/>
          <w:szCs w:val="24"/>
          <w:lang w:val="it-IT"/>
        </w:rPr>
        <w:t>nje</w:t>
      </w:r>
      <w:r w:rsidR="0009017D" w:rsidRPr="000134E1">
        <w:rPr>
          <w:sz w:val="24"/>
          <w:szCs w:val="24"/>
          <w:lang w:val="bs-Latn-BA"/>
        </w:rPr>
        <w:t xml:space="preserve"> </w:t>
      </w:r>
      <w:r w:rsidR="0009017D" w:rsidRPr="000134E1">
        <w:rPr>
          <w:sz w:val="24"/>
          <w:szCs w:val="24"/>
          <w:lang w:val="it-IT"/>
        </w:rPr>
        <w:t>van</w:t>
      </w:r>
      <w:r w:rsidR="0009017D" w:rsidRPr="000134E1">
        <w:rPr>
          <w:sz w:val="24"/>
          <w:szCs w:val="24"/>
          <w:lang w:val="bs-Latn-BA"/>
        </w:rPr>
        <w:t xml:space="preserve"> </w:t>
      </w:r>
      <w:r w:rsidR="0009017D" w:rsidRPr="000134E1">
        <w:rPr>
          <w:sz w:val="24"/>
          <w:szCs w:val="24"/>
          <w:lang w:val="it-IT"/>
        </w:rPr>
        <w:t>okvira</w:t>
      </w:r>
      <w:r w:rsidR="0009017D" w:rsidRPr="000134E1">
        <w:rPr>
          <w:sz w:val="24"/>
          <w:szCs w:val="24"/>
          <w:lang w:val="bs-Latn-BA"/>
        </w:rPr>
        <w:t xml:space="preserve"> </w:t>
      </w:r>
      <w:r w:rsidR="0009017D" w:rsidRPr="000134E1">
        <w:rPr>
          <w:sz w:val="24"/>
          <w:szCs w:val="24"/>
          <w:lang w:val="it-IT"/>
        </w:rPr>
        <w:t>onoga</w:t>
      </w:r>
      <w:r w:rsidR="0009017D" w:rsidRPr="000134E1">
        <w:rPr>
          <w:sz w:val="24"/>
          <w:szCs w:val="24"/>
          <w:lang w:val="bs-Latn-BA"/>
        </w:rPr>
        <w:t xml:space="preserve"> š</w:t>
      </w:r>
      <w:r w:rsidR="0009017D" w:rsidRPr="000134E1">
        <w:rPr>
          <w:sz w:val="24"/>
          <w:szCs w:val="24"/>
          <w:lang w:val="it-IT"/>
        </w:rPr>
        <w:t>to</w:t>
      </w:r>
      <w:r w:rsidR="0009017D" w:rsidRPr="000134E1">
        <w:rPr>
          <w:sz w:val="24"/>
          <w:szCs w:val="24"/>
          <w:lang w:val="bs-Latn-BA"/>
        </w:rPr>
        <w:t xml:space="preserve"> </w:t>
      </w:r>
      <w:r w:rsidR="0009017D" w:rsidRPr="000134E1">
        <w:rPr>
          <w:sz w:val="24"/>
          <w:szCs w:val="24"/>
          <w:lang w:val="it-IT"/>
        </w:rPr>
        <w:t>je</w:t>
      </w:r>
      <w:r w:rsidR="0009017D" w:rsidRPr="000134E1">
        <w:rPr>
          <w:sz w:val="24"/>
          <w:szCs w:val="24"/>
          <w:lang w:val="bs-Latn-BA"/>
        </w:rPr>
        <w:t xml:space="preserve"> </w:t>
      </w:r>
      <w:r w:rsidR="0009017D" w:rsidRPr="000134E1">
        <w:rPr>
          <w:sz w:val="24"/>
          <w:szCs w:val="24"/>
          <w:lang w:val="it-IT"/>
        </w:rPr>
        <w:t>fiskalno</w:t>
      </w:r>
      <w:r w:rsidR="0009017D" w:rsidRPr="000134E1">
        <w:rPr>
          <w:sz w:val="24"/>
          <w:szCs w:val="24"/>
          <w:lang w:val="bs-Latn-BA"/>
        </w:rPr>
        <w:t xml:space="preserve"> </w:t>
      </w:r>
      <w:r w:rsidR="0009017D" w:rsidRPr="000134E1">
        <w:rPr>
          <w:sz w:val="24"/>
          <w:szCs w:val="24"/>
          <w:lang w:val="it-IT"/>
        </w:rPr>
        <w:t>odgovorno</w:t>
      </w:r>
      <w:r w:rsidR="0009017D" w:rsidRPr="000134E1">
        <w:rPr>
          <w:sz w:val="24"/>
          <w:szCs w:val="24"/>
          <w:lang w:val="bs-Latn-BA"/>
        </w:rPr>
        <w:t xml:space="preserve"> </w:t>
      </w:r>
      <w:r w:rsidR="0009017D" w:rsidRPr="000134E1">
        <w:rPr>
          <w:sz w:val="24"/>
          <w:szCs w:val="24"/>
          <w:lang w:val="it-IT"/>
        </w:rPr>
        <w:t>i</w:t>
      </w:r>
      <w:r w:rsidR="0009017D" w:rsidRPr="000134E1">
        <w:rPr>
          <w:sz w:val="24"/>
          <w:szCs w:val="24"/>
          <w:lang w:val="bs-Latn-BA"/>
        </w:rPr>
        <w:t xml:space="preserve"> </w:t>
      </w:r>
      <w:r w:rsidR="0009017D" w:rsidRPr="000134E1">
        <w:rPr>
          <w:sz w:val="24"/>
          <w:szCs w:val="24"/>
          <w:lang w:val="it-IT"/>
        </w:rPr>
        <w:t>odr</w:t>
      </w:r>
      <w:r w:rsidR="0009017D" w:rsidRPr="000134E1">
        <w:rPr>
          <w:sz w:val="24"/>
          <w:szCs w:val="24"/>
          <w:lang w:val="bs-Latn-BA"/>
        </w:rPr>
        <w:t>ž</w:t>
      </w:r>
      <w:r w:rsidR="0009017D" w:rsidRPr="000134E1">
        <w:rPr>
          <w:sz w:val="24"/>
          <w:szCs w:val="24"/>
          <w:lang w:val="it-IT"/>
        </w:rPr>
        <w:t>ivo</w:t>
      </w:r>
      <w:r w:rsidR="0009017D" w:rsidRPr="000134E1">
        <w:rPr>
          <w:sz w:val="24"/>
          <w:szCs w:val="24"/>
          <w:lang w:val="bs-Latn-BA"/>
        </w:rPr>
        <w:t xml:space="preserve">. </w:t>
      </w:r>
      <w:r w:rsidR="0009017D" w:rsidRPr="000134E1">
        <w:rPr>
          <w:sz w:val="24"/>
          <w:szCs w:val="24"/>
          <w:lang w:val="pt-BR"/>
        </w:rPr>
        <w:t>Zahtjevi</w:t>
      </w:r>
      <w:r w:rsidR="0009017D" w:rsidRPr="000134E1">
        <w:rPr>
          <w:sz w:val="24"/>
          <w:szCs w:val="24"/>
          <w:lang w:val="bs-Latn-BA"/>
        </w:rPr>
        <w:t xml:space="preserve"> </w:t>
      </w:r>
      <w:r w:rsidR="0009017D" w:rsidRPr="000134E1">
        <w:rPr>
          <w:sz w:val="24"/>
          <w:szCs w:val="24"/>
          <w:lang w:val="pt-BR"/>
        </w:rPr>
        <w:t>za</w:t>
      </w:r>
      <w:r w:rsidR="0009017D" w:rsidRPr="000134E1">
        <w:rPr>
          <w:sz w:val="24"/>
          <w:szCs w:val="24"/>
          <w:lang w:val="bs-Latn-BA"/>
        </w:rPr>
        <w:t xml:space="preserve"> </w:t>
      </w:r>
      <w:r w:rsidR="0009017D" w:rsidRPr="000134E1">
        <w:rPr>
          <w:sz w:val="24"/>
          <w:szCs w:val="24"/>
          <w:lang w:val="pt-BR"/>
        </w:rPr>
        <w:t>porastom</w:t>
      </w:r>
      <w:r w:rsidR="0009017D" w:rsidRPr="000134E1">
        <w:rPr>
          <w:sz w:val="24"/>
          <w:szCs w:val="24"/>
          <w:lang w:val="bs-Latn-BA"/>
        </w:rPr>
        <w:t xml:space="preserve"> </w:t>
      </w:r>
      <w:r w:rsidR="0009017D" w:rsidRPr="000134E1">
        <w:rPr>
          <w:sz w:val="24"/>
          <w:szCs w:val="24"/>
          <w:lang w:val="pt-BR"/>
        </w:rPr>
        <w:t>potro</w:t>
      </w:r>
      <w:r w:rsidR="0009017D" w:rsidRPr="000134E1">
        <w:rPr>
          <w:sz w:val="24"/>
          <w:szCs w:val="24"/>
          <w:lang w:val="bs-Latn-BA"/>
        </w:rPr>
        <w:t>š</w:t>
      </w:r>
      <w:r w:rsidR="0009017D" w:rsidRPr="000134E1">
        <w:rPr>
          <w:sz w:val="24"/>
          <w:szCs w:val="24"/>
          <w:lang w:val="pt-BR"/>
        </w:rPr>
        <w:t>nje</w:t>
      </w:r>
      <w:r w:rsidR="0009017D" w:rsidRPr="000134E1">
        <w:rPr>
          <w:sz w:val="24"/>
          <w:szCs w:val="24"/>
          <w:lang w:val="bs-Latn-BA"/>
        </w:rPr>
        <w:t xml:space="preserve"> </w:t>
      </w:r>
      <w:r w:rsidR="0009017D" w:rsidRPr="000134E1">
        <w:rPr>
          <w:sz w:val="24"/>
          <w:szCs w:val="24"/>
          <w:lang w:val="pt-BR"/>
        </w:rPr>
        <w:t>u</w:t>
      </w:r>
      <w:r w:rsidR="0009017D" w:rsidRPr="000134E1">
        <w:rPr>
          <w:sz w:val="24"/>
          <w:szCs w:val="24"/>
          <w:lang w:val="bs-Latn-BA"/>
        </w:rPr>
        <w:t xml:space="preserve"> </w:t>
      </w:r>
      <w:r w:rsidR="0009017D" w:rsidRPr="000134E1">
        <w:rPr>
          <w:sz w:val="24"/>
          <w:szCs w:val="24"/>
          <w:lang w:val="pt-BR"/>
        </w:rPr>
        <w:t>prioritetnim</w:t>
      </w:r>
      <w:r w:rsidR="0009017D" w:rsidRPr="000134E1">
        <w:rPr>
          <w:sz w:val="24"/>
          <w:szCs w:val="24"/>
          <w:lang w:val="bs-Latn-BA"/>
        </w:rPr>
        <w:t xml:space="preserve"> </w:t>
      </w:r>
      <w:r w:rsidR="0009017D" w:rsidRPr="000134E1">
        <w:rPr>
          <w:sz w:val="24"/>
          <w:szCs w:val="24"/>
          <w:lang w:val="pt-BR"/>
        </w:rPr>
        <w:t>podru</w:t>
      </w:r>
      <w:r w:rsidR="0009017D" w:rsidRPr="000134E1">
        <w:rPr>
          <w:sz w:val="24"/>
          <w:szCs w:val="24"/>
          <w:lang w:val="bs-Latn-BA"/>
        </w:rPr>
        <w:t>č</w:t>
      </w:r>
      <w:r w:rsidR="0009017D" w:rsidRPr="000134E1">
        <w:rPr>
          <w:sz w:val="24"/>
          <w:szCs w:val="24"/>
          <w:lang w:val="pt-BR"/>
        </w:rPr>
        <w:t>jima</w:t>
      </w:r>
      <w:r w:rsidR="0009017D" w:rsidRPr="000134E1">
        <w:rPr>
          <w:sz w:val="24"/>
          <w:szCs w:val="24"/>
          <w:lang w:val="bs-Latn-BA"/>
        </w:rPr>
        <w:t xml:space="preserve"> </w:t>
      </w:r>
      <w:r w:rsidR="0009017D" w:rsidRPr="000134E1">
        <w:rPr>
          <w:sz w:val="24"/>
          <w:szCs w:val="24"/>
          <w:lang w:val="pt-BR"/>
        </w:rPr>
        <w:t>se</w:t>
      </w:r>
      <w:r w:rsidR="0009017D" w:rsidRPr="000134E1">
        <w:rPr>
          <w:sz w:val="24"/>
          <w:szCs w:val="24"/>
          <w:lang w:val="bs-Latn-BA"/>
        </w:rPr>
        <w:t xml:space="preserve"> </w:t>
      </w:r>
      <w:r w:rsidR="0009017D" w:rsidRPr="000134E1">
        <w:rPr>
          <w:sz w:val="24"/>
          <w:szCs w:val="24"/>
          <w:lang w:val="pt-BR"/>
        </w:rPr>
        <w:t>moraju</w:t>
      </w:r>
      <w:r w:rsidR="0009017D" w:rsidRPr="000134E1">
        <w:rPr>
          <w:sz w:val="24"/>
          <w:szCs w:val="24"/>
          <w:lang w:val="bs-Latn-BA"/>
        </w:rPr>
        <w:t xml:space="preserve"> </w:t>
      </w:r>
      <w:r w:rsidR="0009017D" w:rsidRPr="000134E1">
        <w:rPr>
          <w:sz w:val="24"/>
          <w:szCs w:val="24"/>
          <w:lang w:val="pt-BR"/>
        </w:rPr>
        <w:t>izmiriti</w:t>
      </w:r>
      <w:r w:rsidR="0009017D" w:rsidRPr="000134E1">
        <w:rPr>
          <w:sz w:val="24"/>
          <w:szCs w:val="24"/>
          <w:lang w:val="bs-Latn-BA"/>
        </w:rPr>
        <w:t xml:space="preserve"> </w:t>
      </w:r>
      <w:r w:rsidR="0009017D" w:rsidRPr="000134E1">
        <w:rPr>
          <w:sz w:val="24"/>
          <w:szCs w:val="24"/>
          <w:lang w:val="pt-BR"/>
        </w:rPr>
        <w:t>u</w:t>
      </w:r>
      <w:r w:rsidR="0009017D" w:rsidRPr="000134E1">
        <w:rPr>
          <w:sz w:val="24"/>
          <w:szCs w:val="24"/>
          <w:lang w:val="bs-Latn-BA"/>
        </w:rPr>
        <w:t>š</w:t>
      </w:r>
      <w:r w:rsidR="0009017D" w:rsidRPr="000134E1">
        <w:rPr>
          <w:sz w:val="24"/>
          <w:szCs w:val="24"/>
          <w:lang w:val="pt-BR"/>
        </w:rPr>
        <w:t>tedama</w:t>
      </w:r>
      <w:r w:rsidR="0009017D" w:rsidRPr="000134E1">
        <w:rPr>
          <w:sz w:val="24"/>
          <w:szCs w:val="24"/>
          <w:lang w:val="bs-Latn-BA"/>
        </w:rPr>
        <w:t xml:space="preserve"> </w:t>
      </w:r>
      <w:r w:rsidR="0009017D" w:rsidRPr="000134E1">
        <w:rPr>
          <w:sz w:val="24"/>
          <w:szCs w:val="24"/>
          <w:lang w:val="pt-BR"/>
        </w:rPr>
        <w:t>na</w:t>
      </w:r>
      <w:r w:rsidR="0009017D" w:rsidRPr="000134E1">
        <w:rPr>
          <w:sz w:val="24"/>
          <w:szCs w:val="24"/>
          <w:lang w:val="bs-Latn-BA"/>
        </w:rPr>
        <w:t xml:space="preserve"> </w:t>
      </w:r>
      <w:r w:rsidR="0009017D" w:rsidRPr="000134E1">
        <w:rPr>
          <w:sz w:val="24"/>
          <w:szCs w:val="24"/>
          <w:lang w:val="pt-BR"/>
        </w:rPr>
        <w:t>nisko</w:t>
      </w:r>
      <w:r w:rsidR="0009017D" w:rsidRPr="000134E1">
        <w:rPr>
          <w:sz w:val="24"/>
          <w:szCs w:val="24"/>
          <w:lang w:val="bs-Latn-BA"/>
        </w:rPr>
        <w:t xml:space="preserve"> </w:t>
      </w:r>
      <w:r w:rsidR="0009017D" w:rsidRPr="000134E1">
        <w:rPr>
          <w:sz w:val="24"/>
          <w:szCs w:val="24"/>
          <w:lang w:val="pt-BR"/>
        </w:rPr>
        <w:t>prioritetnim</w:t>
      </w:r>
      <w:r w:rsidR="0009017D" w:rsidRPr="000134E1">
        <w:rPr>
          <w:sz w:val="24"/>
          <w:szCs w:val="24"/>
          <w:lang w:val="bs-Latn-BA"/>
        </w:rPr>
        <w:t xml:space="preserve"> </w:t>
      </w:r>
      <w:r w:rsidR="0009017D" w:rsidRPr="000134E1">
        <w:rPr>
          <w:sz w:val="24"/>
          <w:szCs w:val="24"/>
          <w:lang w:val="pt-BR"/>
        </w:rPr>
        <w:t>podru</w:t>
      </w:r>
      <w:r w:rsidR="0009017D" w:rsidRPr="000134E1">
        <w:rPr>
          <w:sz w:val="24"/>
          <w:szCs w:val="24"/>
          <w:lang w:val="bs-Latn-BA"/>
        </w:rPr>
        <w:t>č</w:t>
      </w:r>
      <w:r w:rsidR="0009017D" w:rsidRPr="000134E1">
        <w:rPr>
          <w:sz w:val="24"/>
          <w:szCs w:val="24"/>
          <w:lang w:val="pt-BR"/>
        </w:rPr>
        <w:t>jima</w:t>
      </w:r>
      <w:r w:rsidR="0009017D" w:rsidRPr="000134E1">
        <w:rPr>
          <w:sz w:val="24"/>
          <w:szCs w:val="24"/>
          <w:lang w:val="bs-Latn-BA"/>
        </w:rPr>
        <w:t xml:space="preserve">. </w:t>
      </w:r>
      <w:r w:rsidR="0009017D" w:rsidRPr="000134E1">
        <w:rPr>
          <w:sz w:val="24"/>
          <w:szCs w:val="24"/>
          <w:lang w:val="pt-BR"/>
        </w:rPr>
        <w:t>Imaju</w:t>
      </w:r>
      <w:r w:rsidR="0009017D" w:rsidRPr="000134E1">
        <w:rPr>
          <w:sz w:val="24"/>
          <w:szCs w:val="24"/>
          <w:lang w:val="bs-Latn-BA"/>
        </w:rPr>
        <w:t>ć</w:t>
      </w:r>
      <w:r w:rsidR="0009017D" w:rsidRPr="000134E1">
        <w:rPr>
          <w:sz w:val="24"/>
          <w:szCs w:val="24"/>
          <w:lang w:val="pt-BR"/>
        </w:rPr>
        <w:t>i</w:t>
      </w:r>
      <w:r w:rsidR="0009017D" w:rsidRPr="000134E1">
        <w:rPr>
          <w:sz w:val="24"/>
          <w:szCs w:val="24"/>
          <w:lang w:val="bs-Latn-BA"/>
        </w:rPr>
        <w:t xml:space="preserve"> </w:t>
      </w:r>
      <w:r w:rsidR="0009017D" w:rsidRPr="000134E1">
        <w:rPr>
          <w:sz w:val="24"/>
          <w:szCs w:val="24"/>
          <w:lang w:val="pt-BR"/>
        </w:rPr>
        <w:t>na</w:t>
      </w:r>
      <w:r w:rsidR="0009017D" w:rsidRPr="000134E1">
        <w:rPr>
          <w:sz w:val="24"/>
          <w:szCs w:val="24"/>
          <w:lang w:val="bs-Latn-BA"/>
        </w:rPr>
        <w:t xml:space="preserve"> </w:t>
      </w:r>
      <w:r w:rsidR="0009017D" w:rsidRPr="000134E1">
        <w:rPr>
          <w:sz w:val="24"/>
          <w:szCs w:val="24"/>
          <w:lang w:val="pt-BR"/>
        </w:rPr>
        <w:t>umu</w:t>
      </w:r>
      <w:r w:rsidR="0009017D" w:rsidRPr="000134E1">
        <w:rPr>
          <w:sz w:val="24"/>
          <w:szCs w:val="24"/>
          <w:lang w:val="bs-Latn-BA"/>
        </w:rPr>
        <w:t xml:space="preserve"> </w:t>
      </w:r>
      <w:r w:rsidR="0009017D" w:rsidRPr="000134E1">
        <w:rPr>
          <w:sz w:val="24"/>
          <w:szCs w:val="24"/>
          <w:lang w:val="pt-BR"/>
        </w:rPr>
        <w:t>evropsku</w:t>
      </w:r>
      <w:r w:rsidR="0009017D" w:rsidRPr="000134E1">
        <w:rPr>
          <w:sz w:val="24"/>
          <w:szCs w:val="24"/>
          <w:lang w:val="bs-Latn-BA"/>
        </w:rPr>
        <w:t xml:space="preserve"> </w:t>
      </w:r>
      <w:r w:rsidR="0009017D" w:rsidRPr="000134E1">
        <w:rPr>
          <w:sz w:val="24"/>
          <w:szCs w:val="24"/>
          <w:lang w:val="pt-BR"/>
        </w:rPr>
        <w:t>perspektivu</w:t>
      </w:r>
      <w:r w:rsidR="0009017D" w:rsidRPr="000134E1">
        <w:rPr>
          <w:sz w:val="24"/>
          <w:szCs w:val="24"/>
          <w:lang w:val="bs-Latn-BA"/>
        </w:rPr>
        <w:t xml:space="preserve"> </w:t>
      </w:r>
      <w:r w:rsidR="0009017D" w:rsidRPr="000134E1">
        <w:rPr>
          <w:sz w:val="24"/>
          <w:szCs w:val="24"/>
          <w:lang w:val="pt-BR"/>
        </w:rPr>
        <w:t>BiH</w:t>
      </w:r>
      <w:r w:rsidR="0009017D" w:rsidRPr="000134E1">
        <w:rPr>
          <w:sz w:val="24"/>
          <w:szCs w:val="24"/>
          <w:lang w:val="bs-Latn-BA"/>
        </w:rPr>
        <w:t xml:space="preserve">, </w:t>
      </w:r>
      <w:r w:rsidR="0009017D" w:rsidRPr="000134E1">
        <w:rPr>
          <w:sz w:val="24"/>
          <w:szCs w:val="24"/>
          <w:lang w:val="pt-BR"/>
        </w:rPr>
        <w:t>bit</w:t>
      </w:r>
      <w:r w:rsidR="0009017D" w:rsidRPr="000134E1">
        <w:rPr>
          <w:sz w:val="24"/>
          <w:szCs w:val="24"/>
          <w:lang w:val="bs-Latn-BA"/>
        </w:rPr>
        <w:t xml:space="preserve"> ć</w:t>
      </w:r>
      <w:r w:rsidR="0009017D" w:rsidRPr="000134E1">
        <w:rPr>
          <w:sz w:val="24"/>
          <w:szCs w:val="24"/>
          <w:lang w:val="pt-BR"/>
        </w:rPr>
        <w:t>e</w:t>
      </w:r>
      <w:r w:rsidR="0009017D" w:rsidRPr="000134E1">
        <w:rPr>
          <w:sz w:val="24"/>
          <w:szCs w:val="24"/>
          <w:lang w:val="bs-Latn-BA"/>
        </w:rPr>
        <w:t xml:space="preserve"> </w:t>
      </w:r>
      <w:r w:rsidR="0009017D" w:rsidRPr="000134E1">
        <w:rPr>
          <w:sz w:val="24"/>
          <w:szCs w:val="24"/>
          <w:lang w:val="pt-BR"/>
        </w:rPr>
        <w:t>od</w:t>
      </w:r>
      <w:r w:rsidR="0009017D" w:rsidRPr="000134E1">
        <w:rPr>
          <w:sz w:val="24"/>
          <w:szCs w:val="24"/>
          <w:lang w:val="bs-Latn-BA"/>
        </w:rPr>
        <w:t xml:space="preserve"> </w:t>
      </w:r>
      <w:r w:rsidR="0009017D" w:rsidRPr="000134E1">
        <w:rPr>
          <w:sz w:val="24"/>
          <w:szCs w:val="24"/>
          <w:lang w:val="pt-BR"/>
        </w:rPr>
        <w:t>presudne</w:t>
      </w:r>
      <w:r w:rsidR="0009017D" w:rsidRPr="000134E1">
        <w:rPr>
          <w:sz w:val="24"/>
          <w:szCs w:val="24"/>
          <w:lang w:val="bs-Latn-BA"/>
        </w:rPr>
        <w:t xml:space="preserve"> </w:t>
      </w:r>
      <w:r w:rsidR="0009017D" w:rsidRPr="000134E1">
        <w:rPr>
          <w:sz w:val="24"/>
          <w:szCs w:val="24"/>
          <w:lang w:val="pt-BR"/>
        </w:rPr>
        <w:t>va</w:t>
      </w:r>
      <w:r w:rsidR="0009017D" w:rsidRPr="000134E1">
        <w:rPr>
          <w:sz w:val="24"/>
          <w:szCs w:val="24"/>
          <w:lang w:val="bs-Latn-BA"/>
        </w:rPr>
        <w:t>ž</w:t>
      </w:r>
      <w:r w:rsidR="0009017D" w:rsidRPr="000134E1">
        <w:rPr>
          <w:sz w:val="24"/>
          <w:szCs w:val="24"/>
          <w:lang w:val="pt-BR"/>
        </w:rPr>
        <w:t>nosti</w:t>
      </w:r>
      <w:r w:rsidR="0009017D" w:rsidRPr="000134E1">
        <w:rPr>
          <w:sz w:val="24"/>
          <w:szCs w:val="24"/>
          <w:lang w:val="bs-Latn-BA"/>
        </w:rPr>
        <w:t xml:space="preserve"> </w:t>
      </w:r>
      <w:r w:rsidR="0009017D" w:rsidRPr="000134E1">
        <w:rPr>
          <w:sz w:val="24"/>
          <w:szCs w:val="24"/>
          <w:lang w:val="pt-BR"/>
        </w:rPr>
        <w:t>nastaviti</w:t>
      </w:r>
      <w:r w:rsidR="0009017D" w:rsidRPr="000134E1">
        <w:rPr>
          <w:sz w:val="24"/>
          <w:szCs w:val="24"/>
          <w:lang w:val="bs-Latn-BA"/>
        </w:rPr>
        <w:t xml:space="preserve"> </w:t>
      </w:r>
      <w:r w:rsidR="0009017D" w:rsidRPr="000134E1">
        <w:rPr>
          <w:sz w:val="24"/>
          <w:szCs w:val="24"/>
          <w:lang w:val="pt-BR"/>
        </w:rPr>
        <w:t>proces</w:t>
      </w:r>
      <w:r w:rsidR="0009017D" w:rsidRPr="000134E1">
        <w:rPr>
          <w:sz w:val="24"/>
          <w:szCs w:val="24"/>
          <w:lang w:val="bs-Latn-BA"/>
        </w:rPr>
        <w:t xml:space="preserve"> </w:t>
      </w:r>
      <w:r w:rsidR="0009017D" w:rsidRPr="000134E1">
        <w:rPr>
          <w:sz w:val="24"/>
          <w:szCs w:val="24"/>
          <w:lang w:val="pt-BR"/>
        </w:rPr>
        <w:t>ja</w:t>
      </w:r>
      <w:r w:rsidR="0009017D" w:rsidRPr="000134E1">
        <w:rPr>
          <w:sz w:val="24"/>
          <w:szCs w:val="24"/>
          <w:lang w:val="bs-Latn-BA"/>
        </w:rPr>
        <w:t>č</w:t>
      </w:r>
      <w:r w:rsidR="0009017D" w:rsidRPr="000134E1">
        <w:rPr>
          <w:sz w:val="24"/>
          <w:szCs w:val="24"/>
          <w:lang w:val="pt-BR"/>
        </w:rPr>
        <w:t>anja</w:t>
      </w:r>
      <w:r w:rsidR="0009017D" w:rsidRPr="000134E1">
        <w:rPr>
          <w:sz w:val="24"/>
          <w:szCs w:val="24"/>
          <w:lang w:val="bs-Latn-BA"/>
        </w:rPr>
        <w:t xml:space="preserve"> </w:t>
      </w:r>
      <w:r w:rsidR="0009017D" w:rsidRPr="000134E1">
        <w:rPr>
          <w:sz w:val="24"/>
          <w:szCs w:val="24"/>
          <w:lang w:val="pt-BR"/>
        </w:rPr>
        <w:t>dr</w:t>
      </w:r>
      <w:r w:rsidR="0009017D" w:rsidRPr="000134E1">
        <w:rPr>
          <w:sz w:val="24"/>
          <w:szCs w:val="24"/>
          <w:lang w:val="bs-Latn-BA"/>
        </w:rPr>
        <w:t>ž</w:t>
      </w:r>
      <w:r w:rsidR="0009017D" w:rsidRPr="000134E1">
        <w:rPr>
          <w:sz w:val="24"/>
          <w:szCs w:val="24"/>
          <w:lang w:val="pt-BR"/>
        </w:rPr>
        <w:t>avnih</w:t>
      </w:r>
      <w:r w:rsidR="0009017D" w:rsidRPr="000134E1">
        <w:rPr>
          <w:sz w:val="24"/>
          <w:szCs w:val="24"/>
          <w:lang w:val="bs-Latn-BA"/>
        </w:rPr>
        <w:t xml:space="preserve"> </w:t>
      </w:r>
      <w:r w:rsidR="0009017D" w:rsidRPr="000134E1">
        <w:rPr>
          <w:sz w:val="24"/>
          <w:szCs w:val="24"/>
          <w:lang w:val="pt-BR"/>
        </w:rPr>
        <w:t>institucija</w:t>
      </w:r>
      <w:r w:rsidR="0009017D" w:rsidRPr="000134E1">
        <w:rPr>
          <w:sz w:val="24"/>
          <w:szCs w:val="24"/>
          <w:lang w:val="bs-Latn-BA"/>
        </w:rPr>
        <w:t xml:space="preserve">, </w:t>
      </w:r>
      <w:r w:rsidR="0009017D" w:rsidRPr="000134E1">
        <w:rPr>
          <w:sz w:val="24"/>
          <w:szCs w:val="24"/>
          <w:lang w:val="pt-BR"/>
        </w:rPr>
        <w:t>uz</w:t>
      </w:r>
      <w:r w:rsidR="0009017D" w:rsidRPr="000134E1">
        <w:rPr>
          <w:sz w:val="24"/>
          <w:szCs w:val="24"/>
          <w:lang w:val="bs-Latn-BA"/>
        </w:rPr>
        <w:t xml:space="preserve"> </w:t>
      </w:r>
      <w:r w:rsidR="0009017D" w:rsidRPr="000134E1">
        <w:rPr>
          <w:sz w:val="24"/>
          <w:szCs w:val="24"/>
          <w:lang w:val="pt-BR"/>
        </w:rPr>
        <w:t>strogo</w:t>
      </w:r>
      <w:r w:rsidR="0009017D" w:rsidRPr="000134E1">
        <w:rPr>
          <w:sz w:val="24"/>
          <w:szCs w:val="24"/>
          <w:lang w:val="bs-Latn-BA"/>
        </w:rPr>
        <w:t xml:space="preserve"> </w:t>
      </w:r>
      <w:r w:rsidR="0009017D" w:rsidRPr="000134E1">
        <w:rPr>
          <w:sz w:val="24"/>
          <w:szCs w:val="24"/>
          <w:lang w:val="pt-BR"/>
        </w:rPr>
        <w:t>pa</w:t>
      </w:r>
      <w:r w:rsidR="0009017D" w:rsidRPr="000134E1">
        <w:rPr>
          <w:sz w:val="24"/>
          <w:szCs w:val="24"/>
          <w:lang w:val="bs-Latn-BA"/>
        </w:rPr>
        <w:t>ž</w:t>
      </w:r>
      <w:r w:rsidR="0009017D" w:rsidRPr="000134E1">
        <w:rPr>
          <w:sz w:val="24"/>
          <w:szCs w:val="24"/>
          <w:lang w:val="pt-BR"/>
        </w:rPr>
        <w:t>enje</w:t>
      </w:r>
      <w:r w:rsidR="0009017D" w:rsidRPr="000134E1">
        <w:rPr>
          <w:sz w:val="24"/>
          <w:szCs w:val="24"/>
          <w:lang w:val="bs-Latn-BA"/>
        </w:rPr>
        <w:t xml:space="preserve"> </w:t>
      </w:r>
      <w:r w:rsidR="0009017D" w:rsidRPr="000134E1">
        <w:rPr>
          <w:sz w:val="24"/>
          <w:szCs w:val="24"/>
          <w:lang w:val="pt-BR"/>
        </w:rPr>
        <w:t>na</w:t>
      </w:r>
      <w:r w:rsidR="0009017D" w:rsidRPr="000134E1">
        <w:rPr>
          <w:sz w:val="24"/>
          <w:szCs w:val="24"/>
          <w:lang w:val="bs-Latn-BA"/>
        </w:rPr>
        <w:t xml:space="preserve"> </w:t>
      </w:r>
      <w:r w:rsidR="0009017D" w:rsidRPr="000134E1">
        <w:rPr>
          <w:sz w:val="24"/>
          <w:szCs w:val="24"/>
          <w:lang w:val="pt-BR"/>
        </w:rPr>
        <w:t>bud</w:t>
      </w:r>
      <w:r w:rsidR="0009017D" w:rsidRPr="000134E1">
        <w:rPr>
          <w:sz w:val="24"/>
          <w:szCs w:val="24"/>
          <w:lang w:val="bs-Latn-BA"/>
        </w:rPr>
        <w:t>ž</w:t>
      </w:r>
      <w:r w:rsidR="0009017D" w:rsidRPr="000134E1">
        <w:rPr>
          <w:sz w:val="24"/>
          <w:szCs w:val="24"/>
          <w:lang w:val="pt-BR"/>
        </w:rPr>
        <w:t>etske</w:t>
      </w:r>
      <w:r w:rsidR="0009017D" w:rsidRPr="000134E1">
        <w:rPr>
          <w:sz w:val="24"/>
          <w:szCs w:val="24"/>
          <w:lang w:val="bs-Latn-BA"/>
        </w:rPr>
        <w:t xml:space="preserve"> </w:t>
      </w:r>
      <w:r w:rsidR="0009017D" w:rsidRPr="000134E1">
        <w:rPr>
          <w:sz w:val="24"/>
          <w:szCs w:val="24"/>
          <w:lang w:val="pt-BR"/>
        </w:rPr>
        <w:t>implikacije</w:t>
      </w:r>
      <w:r w:rsidR="0009017D" w:rsidRPr="000134E1">
        <w:rPr>
          <w:sz w:val="24"/>
          <w:szCs w:val="24"/>
          <w:lang w:val="bs-Latn-BA"/>
        </w:rPr>
        <w:t xml:space="preserve"> </w:t>
      </w:r>
      <w:r w:rsidR="0009017D" w:rsidRPr="000134E1">
        <w:rPr>
          <w:sz w:val="24"/>
          <w:szCs w:val="24"/>
          <w:lang w:val="pt-BR"/>
        </w:rPr>
        <w:t>i</w:t>
      </w:r>
      <w:r w:rsidR="0009017D" w:rsidRPr="000134E1">
        <w:rPr>
          <w:sz w:val="24"/>
          <w:szCs w:val="24"/>
          <w:lang w:val="bs-Latn-BA"/>
        </w:rPr>
        <w:t xml:space="preserve"> </w:t>
      </w:r>
      <w:r w:rsidR="0009017D" w:rsidRPr="000134E1">
        <w:rPr>
          <w:sz w:val="24"/>
          <w:szCs w:val="24"/>
          <w:lang w:val="pt-BR"/>
        </w:rPr>
        <w:t>fiskalnu</w:t>
      </w:r>
      <w:r w:rsidR="0009017D" w:rsidRPr="000134E1">
        <w:rPr>
          <w:sz w:val="24"/>
          <w:szCs w:val="24"/>
          <w:lang w:val="bs-Latn-BA"/>
        </w:rPr>
        <w:t xml:space="preserve"> </w:t>
      </w:r>
      <w:r w:rsidR="0009017D" w:rsidRPr="000134E1">
        <w:rPr>
          <w:sz w:val="24"/>
          <w:szCs w:val="24"/>
          <w:lang w:val="pt-BR"/>
        </w:rPr>
        <w:t>odr</w:t>
      </w:r>
      <w:r w:rsidR="0009017D" w:rsidRPr="000134E1">
        <w:rPr>
          <w:sz w:val="24"/>
          <w:szCs w:val="24"/>
          <w:lang w:val="bs-Latn-BA"/>
        </w:rPr>
        <w:t>ž</w:t>
      </w:r>
      <w:r w:rsidR="0009017D" w:rsidRPr="000134E1">
        <w:rPr>
          <w:sz w:val="24"/>
          <w:szCs w:val="24"/>
          <w:lang w:val="pt-BR"/>
        </w:rPr>
        <w:t>ivost</w:t>
      </w:r>
      <w:r w:rsidR="0009017D" w:rsidRPr="000134E1">
        <w:rPr>
          <w:sz w:val="24"/>
          <w:szCs w:val="24"/>
          <w:lang w:val="bs-Latn-BA"/>
        </w:rPr>
        <w:t xml:space="preserve">. </w:t>
      </w:r>
    </w:p>
    <w:p w:rsidR="00D72155" w:rsidRDefault="0009017D" w:rsidP="003F2A04">
      <w:pPr>
        <w:ind w:firstLine="360"/>
        <w:jc w:val="both"/>
        <w:rPr>
          <w:sz w:val="24"/>
          <w:szCs w:val="24"/>
          <w:lang w:val="pt-BR"/>
        </w:rPr>
      </w:pPr>
      <w:r w:rsidRPr="000134E1">
        <w:rPr>
          <w:sz w:val="24"/>
          <w:szCs w:val="24"/>
          <w:lang w:val="pt-BR"/>
        </w:rPr>
        <w:t>Najve</w:t>
      </w:r>
      <w:r w:rsidRPr="000134E1">
        <w:rPr>
          <w:sz w:val="24"/>
          <w:szCs w:val="24"/>
          <w:lang w:val="bs-Latn-BA"/>
        </w:rPr>
        <w:t>ć</w:t>
      </w:r>
      <w:r w:rsidRPr="000134E1">
        <w:rPr>
          <w:sz w:val="24"/>
          <w:szCs w:val="24"/>
          <w:lang w:val="pt-BR"/>
        </w:rPr>
        <w:t>i</w:t>
      </w:r>
      <w:r w:rsidRPr="000134E1">
        <w:rPr>
          <w:sz w:val="24"/>
          <w:szCs w:val="24"/>
          <w:lang w:val="bs-Latn-BA"/>
        </w:rPr>
        <w:t xml:space="preserve"> </w:t>
      </w:r>
      <w:r w:rsidRPr="000134E1">
        <w:rPr>
          <w:sz w:val="24"/>
          <w:szCs w:val="24"/>
          <w:lang w:val="pt-BR"/>
        </w:rPr>
        <w:t>izazovi</w:t>
      </w:r>
      <w:r w:rsidRPr="000134E1">
        <w:rPr>
          <w:sz w:val="24"/>
          <w:szCs w:val="24"/>
          <w:lang w:val="bs-Latn-BA"/>
        </w:rPr>
        <w:t xml:space="preserve"> </w:t>
      </w:r>
      <w:r w:rsidRPr="000134E1">
        <w:rPr>
          <w:sz w:val="24"/>
          <w:szCs w:val="24"/>
          <w:lang w:val="pt-BR"/>
        </w:rPr>
        <w:t>koji</w:t>
      </w:r>
      <w:r w:rsidRPr="000134E1">
        <w:rPr>
          <w:sz w:val="24"/>
          <w:szCs w:val="24"/>
          <w:lang w:val="bs-Latn-BA"/>
        </w:rPr>
        <w:t xml:space="preserve"> </w:t>
      </w:r>
      <w:r w:rsidRPr="000134E1">
        <w:rPr>
          <w:sz w:val="24"/>
          <w:szCs w:val="24"/>
          <w:lang w:val="pt-BR"/>
        </w:rPr>
        <w:t>se</w:t>
      </w:r>
      <w:r w:rsidRPr="000134E1">
        <w:rPr>
          <w:sz w:val="24"/>
          <w:szCs w:val="24"/>
          <w:lang w:val="bs-Latn-BA"/>
        </w:rPr>
        <w:t xml:space="preserve"> </w:t>
      </w:r>
      <w:r w:rsidRPr="000134E1">
        <w:rPr>
          <w:sz w:val="24"/>
          <w:szCs w:val="24"/>
          <w:lang w:val="pt-BR"/>
        </w:rPr>
        <w:t>i</w:t>
      </w:r>
      <w:r w:rsidRPr="000134E1">
        <w:rPr>
          <w:sz w:val="24"/>
          <w:szCs w:val="24"/>
          <w:lang w:val="bs-Latn-BA"/>
        </w:rPr>
        <w:t xml:space="preserve"> </w:t>
      </w:r>
      <w:r w:rsidRPr="000134E1">
        <w:rPr>
          <w:sz w:val="24"/>
          <w:szCs w:val="24"/>
          <w:lang w:val="pt-BR"/>
        </w:rPr>
        <w:t>dalje</w:t>
      </w:r>
      <w:r w:rsidRPr="000134E1">
        <w:rPr>
          <w:sz w:val="24"/>
          <w:szCs w:val="24"/>
          <w:lang w:val="bs-Latn-BA"/>
        </w:rPr>
        <w:t xml:space="preserve"> </w:t>
      </w:r>
      <w:r w:rsidRPr="000134E1">
        <w:rPr>
          <w:sz w:val="24"/>
          <w:szCs w:val="24"/>
          <w:lang w:val="pt-BR"/>
        </w:rPr>
        <w:t>nalaze</w:t>
      </w:r>
      <w:r w:rsidRPr="000134E1">
        <w:rPr>
          <w:sz w:val="24"/>
          <w:szCs w:val="24"/>
          <w:lang w:val="bs-Latn-BA"/>
        </w:rPr>
        <w:t xml:space="preserve"> </w:t>
      </w:r>
      <w:r w:rsidRPr="000134E1">
        <w:rPr>
          <w:sz w:val="24"/>
          <w:szCs w:val="24"/>
          <w:lang w:val="pt-BR"/>
        </w:rPr>
        <w:t>pred</w:t>
      </w:r>
      <w:r w:rsidRPr="000134E1">
        <w:rPr>
          <w:sz w:val="24"/>
          <w:szCs w:val="24"/>
          <w:lang w:val="bs-Latn-BA"/>
        </w:rPr>
        <w:t xml:space="preserve"> </w:t>
      </w:r>
      <w:r w:rsidRPr="000134E1">
        <w:rPr>
          <w:sz w:val="24"/>
          <w:szCs w:val="24"/>
          <w:lang w:val="hr-HR"/>
        </w:rPr>
        <w:t>Vladom USK-a</w:t>
      </w:r>
      <w:r w:rsidRPr="000134E1">
        <w:rPr>
          <w:sz w:val="24"/>
          <w:szCs w:val="24"/>
          <w:lang w:val="bs-Latn-BA"/>
        </w:rPr>
        <w:t xml:space="preserve"> </w:t>
      </w:r>
      <w:r w:rsidR="00B2078A">
        <w:rPr>
          <w:sz w:val="24"/>
          <w:szCs w:val="24"/>
          <w:lang w:val="bs-Latn-BA"/>
        </w:rPr>
        <w:t xml:space="preserve">su </w:t>
      </w:r>
      <w:r w:rsidRPr="000134E1">
        <w:rPr>
          <w:sz w:val="24"/>
          <w:szCs w:val="24"/>
          <w:lang w:val="pt-BR"/>
        </w:rPr>
        <w:t>visoki</w:t>
      </w:r>
      <w:r w:rsidRPr="000134E1">
        <w:rPr>
          <w:sz w:val="24"/>
          <w:szCs w:val="24"/>
          <w:lang w:val="bs-Latn-BA"/>
        </w:rPr>
        <w:t xml:space="preserve"> </w:t>
      </w:r>
      <w:r w:rsidRPr="000134E1">
        <w:rPr>
          <w:sz w:val="24"/>
          <w:szCs w:val="24"/>
          <w:lang w:val="pt-BR"/>
        </w:rPr>
        <w:t>nivoi</w:t>
      </w:r>
      <w:r w:rsidRPr="000134E1">
        <w:rPr>
          <w:sz w:val="24"/>
          <w:szCs w:val="24"/>
          <w:lang w:val="bs-Latn-BA"/>
        </w:rPr>
        <w:t xml:space="preserve"> </w:t>
      </w:r>
      <w:r w:rsidRPr="000134E1">
        <w:rPr>
          <w:sz w:val="24"/>
          <w:szCs w:val="24"/>
          <w:lang w:val="pt-BR"/>
        </w:rPr>
        <w:t>nezaposlenosti</w:t>
      </w:r>
      <w:r w:rsidRPr="000134E1">
        <w:rPr>
          <w:sz w:val="24"/>
          <w:szCs w:val="24"/>
          <w:lang w:val="bs-Latn-BA"/>
        </w:rPr>
        <w:t xml:space="preserve">, </w:t>
      </w:r>
      <w:r w:rsidRPr="000134E1">
        <w:rPr>
          <w:sz w:val="24"/>
          <w:szCs w:val="24"/>
          <w:lang w:val="pt-BR"/>
        </w:rPr>
        <w:t>sive</w:t>
      </w:r>
      <w:r w:rsidRPr="000134E1">
        <w:rPr>
          <w:sz w:val="24"/>
          <w:szCs w:val="24"/>
          <w:lang w:val="bs-Latn-BA"/>
        </w:rPr>
        <w:t xml:space="preserve"> </w:t>
      </w:r>
      <w:r w:rsidRPr="000134E1">
        <w:rPr>
          <w:sz w:val="24"/>
          <w:szCs w:val="24"/>
          <w:lang w:val="pt-BR"/>
        </w:rPr>
        <w:t>ekonomije</w:t>
      </w:r>
      <w:r w:rsidRPr="000134E1">
        <w:rPr>
          <w:sz w:val="24"/>
          <w:szCs w:val="24"/>
          <w:lang w:val="bs-Latn-BA"/>
        </w:rPr>
        <w:t xml:space="preserve">, </w:t>
      </w:r>
      <w:r w:rsidRPr="000134E1">
        <w:rPr>
          <w:sz w:val="24"/>
          <w:szCs w:val="24"/>
          <w:lang w:val="pt-BR"/>
        </w:rPr>
        <w:t>te</w:t>
      </w:r>
      <w:r w:rsidRPr="000134E1">
        <w:rPr>
          <w:sz w:val="24"/>
          <w:szCs w:val="24"/>
          <w:lang w:val="bs-Latn-BA"/>
        </w:rPr>
        <w:t xml:space="preserve"> </w:t>
      </w:r>
      <w:r w:rsidRPr="000134E1">
        <w:rPr>
          <w:sz w:val="24"/>
          <w:szCs w:val="24"/>
          <w:lang w:val="pt-BR"/>
        </w:rPr>
        <w:t>nerije</w:t>
      </w:r>
      <w:r w:rsidRPr="000134E1">
        <w:rPr>
          <w:sz w:val="24"/>
          <w:szCs w:val="24"/>
          <w:lang w:val="bs-Latn-BA"/>
        </w:rPr>
        <w:t>š</w:t>
      </w:r>
      <w:r w:rsidRPr="000134E1">
        <w:rPr>
          <w:sz w:val="24"/>
          <w:szCs w:val="24"/>
          <w:lang w:val="pt-BR"/>
        </w:rPr>
        <w:t>eno</w:t>
      </w:r>
      <w:r w:rsidRPr="000134E1">
        <w:rPr>
          <w:sz w:val="24"/>
          <w:szCs w:val="24"/>
          <w:lang w:val="bs-Latn-BA"/>
        </w:rPr>
        <w:t xml:space="preserve"> </w:t>
      </w:r>
      <w:r w:rsidRPr="000134E1">
        <w:rPr>
          <w:sz w:val="24"/>
          <w:szCs w:val="24"/>
          <w:lang w:val="pt-BR"/>
        </w:rPr>
        <w:t>pitanje</w:t>
      </w:r>
      <w:r w:rsidRPr="000134E1">
        <w:rPr>
          <w:sz w:val="24"/>
          <w:szCs w:val="24"/>
          <w:lang w:val="bs-Latn-BA"/>
        </w:rPr>
        <w:t xml:space="preserve"> </w:t>
      </w:r>
      <w:r w:rsidRPr="000134E1">
        <w:rPr>
          <w:sz w:val="24"/>
          <w:szCs w:val="24"/>
          <w:lang w:val="pt-BR"/>
        </w:rPr>
        <w:t>unutra</w:t>
      </w:r>
      <w:r w:rsidRPr="000134E1">
        <w:rPr>
          <w:sz w:val="24"/>
          <w:szCs w:val="24"/>
          <w:lang w:val="bs-Latn-BA"/>
        </w:rPr>
        <w:t>š</w:t>
      </w:r>
      <w:r w:rsidRPr="000134E1">
        <w:rPr>
          <w:sz w:val="24"/>
          <w:szCs w:val="24"/>
          <w:lang w:val="pt-BR"/>
        </w:rPr>
        <w:t>njeg</w:t>
      </w:r>
      <w:r w:rsidRPr="000134E1">
        <w:rPr>
          <w:sz w:val="24"/>
          <w:szCs w:val="24"/>
          <w:lang w:val="bs-Latn-BA"/>
        </w:rPr>
        <w:t xml:space="preserve"> </w:t>
      </w:r>
      <w:r w:rsidRPr="000134E1">
        <w:rPr>
          <w:sz w:val="24"/>
          <w:szCs w:val="24"/>
          <w:lang w:val="pt-BR"/>
        </w:rPr>
        <w:t>duga.</w:t>
      </w:r>
    </w:p>
    <w:p w:rsidR="0009017D" w:rsidRDefault="0009017D" w:rsidP="003F2A04">
      <w:pPr>
        <w:ind w:firstLine="360"/>
        <w:jc w:val="both"/>
        <w:rPr>
          <w:sz w:val="24"/>
          <w:szCs w:val="24"/>
          <w:lang w:val="bs-Latn-BA"/>
        </w:rPr>
      </w:pPr>
      <w:r>
        <w:rPr>
          <w:sz w:val="24"/>
          <w:szCs w:val="24"/>
          <w:lang w:val="pt-BR"/>
        </w:rPr>
        <w:t>Da</w:t>
      </w:r>
      <w:r>
        <w:rPr>
          <w:sz w:val="24"/>
          <w:szCs w:val="24"/>
          <w:lang w:val="bs-Latn-BA"/>
        </w:rPr>
        <w:t xml:space="preserve"> </w:t>
      </w:r>
      <w:r>
        <w:rPr>
          <w:sz w:val="24"/>
          <w:szCs w:val="24"/>
          <w:lang w:val="pt-BR"/>
        </w:rPr>
        <w:t>bi</w:t>
      </w:r>
      <w:r>
        <w:rPr>
          <w:sz w:val="24"/>
          <w:szCs w:val="24"/>
          <w:lang w:val="bs-Latn-BA"/>
        </w:rPr>
        <w:t xml:space="preserve"> </w:t>
      </w:r>
      <w:r>
        <w:rPr>
          <w:sz w:val="24"/>
          <w:szCs w:val="24"/>
          <w:lang w:val="pt-BR"/>
        </w:rPr>
        <w:t>se</w:t>
      </w:r>
      <w:r>
        <w:rPr>
          <w:sz w:val="24"/>
          <w:szCs w:val="24"/>
          <w:lang w:val="bs-Latn-BA"/>
        </w:rPr>
        <w:t xml:space="preserve"> </w:t>
      </w:r>
      <w:r>
        <w:rPr>
          <w:sz w:val="24"/>
          <w:szCs w:val="24"/>
          <w:lang w:val="pt-BR"/>
        </w:rPr>
        <w:t>izbjegli</w:t>
      </w:r>
      <w:r>
        <w:rPr>
          <w:sz w:val="24"/>
          <w:szCs w:val="24"/>
          <w:lang w:val="bs-Latn-BA"/>
        </w:rPr>
        <w:t xml:space="preserve"> </w:t>
      </w:r>
      <w:r>
        <w:rPr>
          <w:sz w:val="24"/>
          <w:szCs w:val="24"/>
          <w:lang w:val="pt-BR"/>
        </w:rPr>
        <w:t>mogu</w:t>
      </w:r>
      <w:r>
        <w:rPr>
          <w:sz w:val="24"/>
          <w:szCs w:val="24"/>
          <w:lang w:val="bs-Latn-BA"/>
        </w:rPr>
        <w:t>ć</w:t>
      </w:r>
      <w:r>
        <w:rPr>
          <w:sz w:val="24"/>
          <w:szCs w:val="24"/>
          <w:lang w:val="pt-BR"/>
        </w:rPr>
        <w:t>i</w:t>
      </w:r>
      <w:r>
        <w:rPr>
          <w:sz w:val="24"/>
          <w:szCs w:val="24"/>
          <w:lang w:val="bs-Latn-BA"/>
        </w:rPr>
        <w:t xml:space="preserve"> </w:t>
      </w:r>
      <w:r>
        <w:rPr>
          <w:sz w:val="24"/>
          <w:szCs w:val="24"/>
          <w:lang w:val="pt-BR"/>
        </w:rPr>
        <w:t>rizici</w:t>
      </w:r>
      <w:r>
        <w:rPr>
          <w:sz w:val="24"/>
          <w:szCs w:val="24"/>
          <w:lang w:val="bs-Latn-BA"/>
        </w:rPr>
        <w:t xml:space="preserve"> </w:t>
      </w:r>
      <w:r>
        <w:rPr>
          <w:sz w:val="24"/>
          <w:szCs w:val="24"/>
          <w:lang w:val="pt-BR"/>
        </w:rPr>
        <w:t>po</w:t>
      </w:r>
      <w:r>
        <w:rPr>
          <w:sz w:val="24"/>
          <w:szCs w:val="24"/>
          <w:lang w:val="bs-Latn-BA"/>
        </w:rPr>
        <w:t xml:space="preserve"> </w:t>
      </w:r>
      <w:r>
        <w:rPr>
          <w:sz w:val="24"/>
          <w:szCs w:val="24"/>
          <w:lang w:val="pt-BR"/>
        </w:rPr>
        <w:t>makroekonomsku</w:t>
      </w:r>
      <w:r>
        <w:rPr>
          <w:sz w:val="24"/>
          <w:szCs w:val="24"/>
          <w:lang w:val="bs-Latn-BA"/>
        </w:rPr>
        <w:t xml:space="preserve"> </w:t>
      </w:r>
      <w:r>
        <w:rPr>
          <w:sz w:val="24"/>
          <w:szCs w:val="24"/>
          <w:lang w:val="pt-BR"/>
        </w:rPr>
        <w:t>stabilnost</w:t>
      </w:r>
      <w:r>
        <w:rPr>
          <w:sz w:val="24"/>
          <w:szCs w:val="24"/>
          <w:lang w:val="bs-Latn-BA"/>
        </w:rPr>
        <w:t xml:space="preserve"> kantona, </w:t>
      </w:r>
      <w:r>
        <w:rPr>
          <w:sz w:val="24"/>
          <w:szCs w:val="24"/>
          <w:lang w:val="pt-BR"/>
        </w:rPr>
        <w:t>u</w:t>
      </w:r>
      <w:r>
        <w:rPr>
          <w:sz w:val="24"/>
          <w:szCs w:val="24"/>
          <w:lang w:val="bs-Latn-BA"/>
        </w:rPr>
        <w:t xml:space="preserve"> </w:t>
      </w:r>
      <w:r>
        <w:rPr>
          <w:sz w:val="24"/>
          <w:szCs w:val="24"/>
          <w:lang w:val="pt-BR"/>
        </w:rPr>
        <w:t>narednom</w:t>
      </w:r>
      <w:r>
        <w:rPr>
          <w:sz w:val="24"/>
          <w:szCs w:val="24"/>
          <w:lang w:val="bs-Latn-BA"/>
        </w:rPr>
        <w:t xml:space="preserve"> </w:t>
      </w:r>
      <w:r>
        <w:rPr>
          <w:sz w:val="24"/>
          <w:szCs w:val="24"/>
          <w:lang w:val="pt-BR"/>
        </w:rPr>
        <w:t>periodu</w:t>
      </w:r>
      <w:r>
        <w:rPr>
          <w:sz w:val="24"/>
          <w:szCs w:val="24"/>
          <w:lang w:val="bs-Latn-BA"/>
        </w:rPr>
        <w:t xml:space="preserve"> ć</w:t>
      </w:r>
      <w:r>
        <w:rPr>
          <w:sz w:val="24"/>
          <w:szCs w:val="24"/>
          <w:lang w:val="pt-BR"/>
        </w:rPr>
        <w:t>e</w:t>
      </w:r>
      <w:r>
        <w:rPr>
          <w:sz w:val="24"/>
          <w:szCs w:val="24"/>
          <w:lang w:val="bs-Latn-BA"/>
        </w:rPr>
        <w:t xml:space="preserve"> </w:t>
      </w:r>
      <w:r>
        <w:rPr>
          <w:sz w:val="24"/>
          <w:szCs w:val="24"/>
          <w:lang w:val="pt-BR"/>
        </w:rPr>
        <w:t>biti</w:t>
      </w:r>
      <w:r>
        <w:rPr>
          <w:sz w:val="24"/>
          <w:szCs w:val="24"/>
          <w:lang w:val="bs-Latn-BA"/>
        </w:rPr>
        <w:t xml:space="preserve"> </w:t>
      </w:r>
      <w:r>
        <w:rPr>
          <w:sz w:val="24"/>
          <w:szCs w:val="24"/>
          <w:lang w:val="pt-BR"/>
        </w:rPr>
        <w:t>neophodno</w:t>
      </w:r>
      <w:r>
        <w:rPr>
          <w:sz w:val="24"/>
          <w:szCs w:val="24"/>
          <w:lang w:val="bs-Latn-BA"/>
        </w:rPr>
        <w:t xml:space="preserve"> </w:t>
      </w:r>
      <w:r>
        <w:rPr>
          <w:sz w:val="24"/>
          <w:szCs w:val="24"/>
          <w:lang w:val="pt-BR"/>
        </w:rPr>
        <w:t>da</w:t>
      </w:r>
      <w:r>
        <w:rPr>
          <w:sz w:val="24"/>
          <w:szCs w:val="24"/>
          <w:lang w:val="bs-Latn-BA"/>
        </w:rPr>
        <w:t xml:space="preserve"> </w:t>
      </w:r>
      <w:r>
        <w:rPr>
          <w:sz w:val="24"/>
          <w:szCs w:val="24"/>
          <w:lang w:val="pt-BR"/>
        </w:rPr>
        <w:t>makroekonomske</w:t>
      </w:r>
      <w:r>
        <w:rPr>
          <w:sz w:val="24"/>
          <w:szCs w:val="24"/>
          <w:lang w:val="bs-Latn-BA"/>
        </w:rPr>
        <w:t xml:space="preserve"> </w:t>
      </w:r>
      <w:r>
        <w:rPr>
          <w:sz w:val="24"/>
          <w:szCs w:val="24"/>
          <w:lang w:val="pt-BR"/>
        </w:rPr>
        <w:t>i</w:t>
      </w:r>
      <w:r>
        <w:rPr>
          <w:sz w:val="24"/>
          <w:szCs w:val="24"/>
          <w:lang w:val="bs-Latn-BA"/>
        </w:rPr>
        <w:t xml:space="preserve"> </w:t>
      </w:r>
      <w:r>
        <w:rPr>
          <w:sz w:val="24"/>
          <w:szCs w:val="24"/>
          <w:lang w:val="pt-BR"/>
        </w:rPr>
        <w:t>fiskalne</w:t>
      </w:r>
      <w:r>
        <w:rPr>
          <w:sz w:val="24"/>
          <w:szCs w:val="24"/>
          <w:lang w:val="bs-Latn-BA"/>
        </w:rPr>
        <w:t xml:space="preserve"> </w:t>
      </w:r>
      <w:r>
        <w:rPr>
          <w:sz w:val="24"/>
          <w:szCs w:val="24"/>
          <w:lang w:val="pt-BR"/>
        </w:rPr>
        <w:t>politike</w:t>
      </w:r>
      <w:r>
        <w:rPr>
          <w:sz w:val="24"/>
          <w:szCs w:val="24"/>
          <w:lang w:val="bs-Latn-BA"/>
        </w:rPr>
        <w:t xml:space="preserve"> </w:t>
      </w:r>
      <w:r>
        <w:rPr>
          <w:sz w:val="24"/>
          <w:szCs w:val="24"/>
          <w:lang w:val="pt-BR"/>
        </w:rPr>
        <w:t>u</w:t>
      </w:r>
      <w:r>
        <w:rPr>
          <w:sz w:val="24"/>
          <w:szCs w:val="24"/>
          <w:lang w:val="bs-Latn-BA"/>
        </w:rPr>
        <w:t xml:space="preserve"> procesu nastavka fiskalne reforme </w:t>
      </w:r>
      <w:r>
        <w:rPr>
          <w:sz w:val="24"/>
          <w:szCs w:val="24"/>
          <w:lang w:val="pt-BR"/>
        </w:rPr>
        <w:t>imaju</w:t>
      </w:r>
      <w:r>
        <w:rPr>
          <w:sz w:val="24"/>
          <w:szCs w:val="24"/>
          <w:lang w:val="bs-Latn-BA"/>
        </w:rPr>
        <w:t xml:space="preserve"> </w:t>
      </w:r>
      <w:r>
        <w:rPr>
          <w:sz w:val="24"/>
          <w:szCs w:val="24"/>
          <w:lang w:val="pt-BR"/>
        </w:rPr>
        <w:t>u</w:t>
      </w:r>
      <w:r>
        <w:rPr>
          <w:sz w:val="24"/>
          <w:szCs w:val="24"/>
          <w:lang w:val="bs-Latn-BA"/>
        </w:rPr>
        <w:t xml:space="preserve"> </w:t>
      </w:r>
      <w:r>
        <w:rPr>
          <w:sz w:val="24"/>
          <w:szCs w:val="24"/>
          <w:lang w:val="pt-BR"/>
        </w:rPr>
        <w:t>vidu</w:t>
      </w:r>
      <w:r>
        <w:rPr>
          <w:sz w:val="24"/>
          <w:szCs w:val="24"/>
          <w:lang w:val="bs-Latn-BA"/>
        </w:rPr>
        <w:t xml:space="preserve"> </w:t>
      </w:r>
      <w:r>
        <w:rPr>
          <w:sz w:val="24"/>
          <w:szCs w:val="24"/>
          <w:lang w:val="pt-BR"/>
        </w:rPr>
        <w:t>slijede</w:t>
      </w:r>
      <w:r>
        <w:rPr>
          <w:sz w:val="24"/>
          <w:szCs w:val="24"/>
          <w:lang w:val="bs-Latn-BA"/>
        </w:rPr>
        <w:t>ć</w:t>
      </w:r>
      <w:r>
        <w:rPr>
          <w:sz w:val="24"/>
          <w:szCs w:val="24"/>
          <w:lang w:val="pt-BR"/>
        </w:rPr>
        <w:t>a</w:t>
      </w:r>
      <w:r>
        <w:rPr>
          <w:sz w:val="24"/>
          <w:szCs w:val="24"/>
          <w:lang w:val="bs-Latn-BA"/>
        </w:rPr>
        <w:t xml:space="preserve"> </w:t>
      </w:r>
      <w:r>
        <w:rPr>
          <w:sz w:val="24"/>
          <w:szCs w:val="24"/>
          <w:lang w:val="pt-BR"/>
        </w:rPr>
        <w:t>pitanja</w:t>
      </w:r>
      <w:r>
        <w:rPr>
          <w:sz w:val="24"/>
          <w:szCs w:val="24"/>
          <w:lang w:val="bs-Latn-BA"/>
        </w:rPr>
        <w:t>:</w:t>
      </w:r>
    </w:p>
    <w:p w:rsidR="003C7F29" w:rsidRPr="008B14AC"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s</w:t>
      </w:r>
      <w:r w:rsidRPr="008B14AC">
        <w:rPr>
          <w:rFonts w:ascii="Times New Roman" w:hAnsi="Times New Roman"/>
          <w:sz w:val="24"/>
          <w:szCs w:val="24"/>
        </w:rPr>
        <w:t>tabilizaciju i konsolidaciju  financijskog stanja Bužeta Unsko-sanskog kantona;</w:t>
      </w:r>
    </w:p>
    <w:p w:rsidR="003C7F29" w:rsidRPr="008B14AC"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o</w:t>
      </w:r>
      <w:r w:rsidRPr="008B14AC">
        <w:rPr>
          <w:rFonts w:ascii="Times New Roman" w:hAnsi="Times New Roman"/>
          <w:sz w:val="24"/>
          <w:szCs w:val="24"/>
        </w:rPr>
        <w:t xml:space="preserve">dlučnu opredijeljenost da se iz stagnacije pokrene snažniji razvoj i nova ulaganja radi poboljšanja poslovnog ambijenta kao i osiguranje vlastitih sredstava za sufinansiranje projekata iz europskih fondova i fondova međunarodnih organizacija; </w:t>
      </w:r>
    </w:p>
    <w:p w:rsidR="003C7F29" w:rsidRPr="00080564"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n</w:t>
      </w:r>
      <w:r w:rsidRPr="008B14AC">
        <w:rPr>
          <w:rFonts w:ascii="Times New Roman" w:hAnsi="Times New Roman"/>
          <w:sz w:val="24"/>
          <w:szCs w:val="24"/>
        </w:rPr>
        <w:t>ulta stopa toleranci</w:t>
      </w:r>
      <w:r>
        <w:rPr>
          <w:rFonts w:ascii="Times New Roman" w:hAnsi="Times New Roman"/>
          <w:sz w:val="24"/>
          <w:szCs w:val="24"/>
        </w:rPr>
        <w:t>je protiv kriminala i korupcije</w:t>
      </w:r>
      <w:r w:rsidRPr="00080564">
        <w:rPr>
          <w:rFonts w:ascii="Times New Roman" w:hAnsi="Times New Roman"/>
          <w:sz w:val="24"/>
          <w:szCs w:val="24"/>
        </w:rPr>
        <w:t>;</w:t>
      </w:r>
    </w:p>
    <w:p w:rsidR="003C7F29" w:rsidRPr="008B14AC"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p</w:t>
      </w:r>
      <w:r w:rsidRPr="008B14AC">
        <w:rPr>
          <w:rFonts w:ascii="Times New Roman" w:hAnsi="Times New Roman"/>
          <w:sz w:val="24"/>
          <w:szCs w:val="24"/>
        </w:rPr>
        <w:t>oboljšanje materijalno-tehničke opremljenosti i obučenosti Ministarstva unutrašnjih poslova radi povećanja stepena sigurnosti u Unsko-sanskom kantonu i kontroliranog upravljanja kriznim situacijama, posebno migrantskom krizom</w:t>
      </w:r>
      <w:r w:rsidR="002F510A">
        <w:rPr>
          <w:rFonts w:ascii="Times New Roman" w:hAnsi="Times New Roman"/>
          <w:sz w:val="24"/>
          <w:szCs w:val="24"/>
        </w:rPr>
        <w:t>;</w:t>
      </w:r>
    </w:p>
    <w:p w:rsidR="003C7F29" w:rsidRPr="008B14AC"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u</w:t>
      </w:r>
      <w:r w:rsidRPr="008B14AC">
        <w:rPr>
          <w:rFonts w:ascii="Times New Roman" w:hAnsi="Times New Roman"/>
          <w:sz w:val="24"/>
          <w:szCs w:val="24"/>
        </w:rPr>
        <w:t>tvrđivanje zdravstvene politike koja će se usredotočiti na reformu zdravstvenog sistema radi smanjenja potrošnje u zdravstvu, racionalizacije nemedicinskog kadra, osiguranja kvalitetne zdravstvene infrastrukture i potrebnih specijalističkih kadrova;</w:t>
      </w:r>
    </w:p>
    <w:p w:rsidR="003C7F29" w:rsidRPr="008B14AC"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s</w:t>
      </w:r>
      <w:r w:rsidRPr="008B14AC">
        <w:rPr>
          <w:rFonts w:ascii="Times New Roman" w:hAnsi="Times New Roman"/>
          <w:sz w:val="24"/>
          <w:szCs w:val="24"/>
        </w:rPr>
        <w:t>nažniju potporu socijalnom partnerstvu i provođenju potrebnih socijalnih mjera kako bi se u najvećoj mjeri zajamčila socijalna uključenost i pravednost;</w:t>
      </w:r>
    </w:p>
    <w:p w:rsidR="003C7F29" w:rsidRPr="008B14AC" w:rsidRDefault="003C7F29" w:rsidP="003C7F29">
      <w:pPr>
        <w:pStyle w:val="ListParagraph"/>
        <w:numPr>
          <w:ilvl w:val="0"/>
          <w:numId w:val="18"/>
        </w:numPr>
        <w:jc w:val="both"/>
        <w:rPr>
          <w:rFonts w:ascii="Times New Roman" w:hAnsi="Times New Roman"/>
          <w:sz w:val="24"/>
          <w:szCs w:val="24"/>
        </w:rPr>
      </w:pPr>
      <w:r>
        <w:rPr>
          <w:rFonts w:ascii="Times New Roman" w:hAnsi="Times New Roman"/>
          <w:sz w:val="24"/>
          <w:szCs w:val="24"/>
        </w:rPr>
        <w:t>s</w:t>
      </w:r>
      <w:r w:rsidRPr="008B14AC">
        <w:rPr>
          <w:rFonts w:ascii="Times New Roman" w:hAnsi="Times New Roman"/>
          <w:sz w:val="24"/>
          <w:szCs w:val="24"/>
        </w:rPr>
        <w:t>trateške aktivnosti demografske obnove Unsko-sanskog kantona;</w:t>
      </w:r>
    </w:p>
    <w:p w:rsidR="003C7F29" w:rsidRPr="008B14AC"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r</w:t>
      </w:r>
      <w:r w:rsidRPr="008B14AC">
        <w:rPr>
          <w:rFonts w:ascii="Times New Roman" w:hAnsi="Times New Roman"/>
          <w:sz w:val="24"/>
          <w:szCs w:val="24"/>
        </w:rPr>
        <w:t>eforma javne uprave po sektorima. Centralizacija javnih nabavki svih kantonalnih institucija. Reorganizacija i racionalizacija uprave s ciljem postizanja većeg stupnja efikasnosti, ekonomičnosti i transparentnosti u radu;</w:t>
      </w:r>
    </w:p>
    <w:p w:rsidR="003C7F29" w:rsidRPr="00080564"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r</w:t>
      </w:r>
      <w:r w:rsidRPr="008B14AC">
        <w:rPr>
          <w:rFonts w:ascii="Times New Roman" w:hAnsi="Times New Roman"/>
          <w:sz w:val="24"/>
          <w:szCs w:val="24"/>
        </w:rPr>
        <w:t>eformu obrazovnog sistema radi depolitizacije i dostupnosti obrazovanja svima pod jednakim uvjetima, osiguranja kvalitetnog sistema i povećanja nivoa znanja uz maksimalno korištenje savremenih informacijsko-komunikacijskih tehnologija, te obezbjeđenje transparentnog i racionalnijeg  tro</w:t>
      </w:r>
      <w:r>
        <w:rPr>
          <w:rFonts w:ascii="Times New Roman" w:hAnsi="Times New Roman"/>
          <w:sz w:val="24"/>
          <w:szCs w:val="24"/>
        </w:rPr>
        <w:t xml:space="preserve">šenja sredstava u ovoj oblasti </w:t>
      </w:r>
      <w:r w:rsidRPr="00080564">
        <w:rPr>
          <w:rFonts w:ascii="Times New Roman" w:hAnsi="Times New Roman"/>
          <w:sz w:val="24"/>
          <w:szCs w:val="24"/>
        </w:rPr>
        <w:t xml:space="preserve">uz uspostavu kontole finansijskih sredstava; </w:t>
      </w:r>
    </w:p>
    <w:p w:rsidR="003C7F29" w:rsidRPr="008B14AC"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s</w:t>
      </w:r>
      <w:r w:rsidRPr="008B14AC">
        <w:rPr>
          <w:rFonts w:ascii="Times New Roman" w:hAnsi="Times New Roman"/>
          <w:sz w:val="24"/>
          <w:szCs w:val="24"/>
        </w:rPr>
        <w:t>tvaranje potrebnih pretpostavki za ravnomjerni i uravnoteženi razvoj svih općina i gradova Unsko-sanskog kantona imajući u vidu njihove specifične privredne i društvene potrebe;</w:t>
      </w:r>
    </w:p>
    <w:p w:rsidR="003C7F29" w:rsidRPr="008B14AC"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d</w:t>
      </w:r>
      <w:r w:rsidRPr="008B14AC">
        <w:rPr>
          <w:rFonts w:ascii="Times New Roman" w:hAnsi="Times New Roman"/>
          <w:sz w:val="24"/>
          <w:szCs w:val="24"/>
        </w:rPr>
        <w:t>ovršetak privatizacijskog procesa privrednih subjekata u nadležnosti Unsko-sanskog kantona;</w:t>
      </w:r>
    </w:p>
    <w:p w:rsidR="003C7F29"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r</w:t>
      </w:r>
      <w:r w:rsidRPr="008B14AC">
        <w:rPr>
          <w:rFonts w:ascii="Times New Roman" w:hAnsi="Times New Roman"/>
          <w:sz w:val="24"/>
          <w:szCs w:val="24"/>
        </w:rPr>
        <w:t xml:space="preserve">azvoj malog i srednjeg poduzetništva putem usklađene kantonalne politike u svim područjima od obrazovanja i znanosti, uklanjanja administrativnih prepreka do mjera i instrumenata za potporu poduzetnicima;  </w:t>
      </w:r>
    </w:p>
    <w:p w:rsidR="003C7F29" w:rsidRPr="000C0E06"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u</w:t>
      </w:r>
      <w:r w:rsidRPr="000C0E06">
        <w:rPr>
          <w:rFonts w:ascii="Times New Roman" w:hAnsi="Times New Roman"/>
          <w:sz w:val="24"/>
          <w:szCs w:val="24"/>
        </w:rPr>
        <w:t xml:space="preserve">svajanje Zakona o ulaganju i novog Zakona o javno-privatnom partnerstvu; </w:t>
      </w:r>
    </w:p>
    <w:p w:rsidR="003C7F29"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lastRenderedPageBreak/>
        <w:t>s</w:t>
      </w:r>
      <w:r w:rsidRPr="008B14AC">
        <w:rPr>
          <w:rFonts w:ascii="Times New Roman" w:hAnsi="Times New Roman"/>
          <w:sz w:val="24"/>
          <w:szCs w:val="24"/>
        </w:rPr>
        <w:t>manjenje stope nezaposlenosti kroz programe dodatnog osposobljavanja, prekvalifikacija i olakšica, posebno namijenjene mlad</w:t>
      </w:r>
      <w:r>
        <w:rPr>
          <w:rFonts w:ascii="Times New Roman" w:hAnsi="Times New Roman"/>
          <w:sz w:val="24"/>
          <w:szCs w:val="24"/>
        </w:rPr>
        <w:t>ima i dugotrajno nezaposlenima;</w:t>
      </w:r>
    </w:p>
    <w:p w:rsidR="003C7F29" w:rsidRPr="000C0E06"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o</w:t>
      </w:r>
      <w:r w:rsidRPr="000C0E06">
        <w:rPr>
          <w:rFonts w:ascii="Times New Roman" w:hAnsi="Times New Roman"/>
          <w:sz w:val="24"/>
          <w:szCs w:val="24"/>
        </w:rPr>
        <w:t xml:space="preserve">tvaranje start-up centara i izgradnja tehnološkog parka;  </w:t>
      </w:r>
    </w:p>
    <w:p w:rsidR="003C7F29" w:rsidRPr="00080564"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p</w:t>
      </w:r>
      <w:r w:rsidRPr="008B14AC">
        <w:rPr>
          <w:rFonts w:ascii="Times New Roman" w:hAnsi="Times New Roman"/>
          <w:sz w:val="24"/>
          <w:szCs w:val="24"/>
        </w:rPr>
        <w:t>ovećanje konkurentnosti poljoprivrede Unsko-sanskog kantona kroz poticanje proizvodnje, kapitalna ulaganja i ruralni razvoj na osnovu Strategije razvoja polj</w:t>
      </w:r>
      <w:r>
        <w:rPr>
          <w:rFonts w:ascii="Times New Roman" w:hAnsi="Times New Roman"/>
          <w:sz w:val="24"/>
          <w:szCs w:val="24"/>
        </w:rPr>
        <w:t xml:space="preserve">oprivrede Unsko-sanskog kantona, kao i programa poticaja u vidu </w:t>
      </w:r>
      <w:r w:rsidRPr="00080564">
        <w:rPr>
          <w:rFonts w:ascii="Times New Roman" w:hAnsi="Times New Roman"/>
          <w:sz w:val="24"/>
          <w:szCs w:val="24"/>
        </w:rPr>
        <w:t>pokretanja obrta iz oblasti poljoprivrede;</w:t>
      </w:r>
    </w:p>
    <w:p w:rsidR="003C7F29" w:rsidRPr="008B14AC"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p</w:t>
      </w:r>
      <w:r w:rsidRPr="008B14AC">
        <w:rPr>
          <w:rFonts w:ascii="Times New Roman" w:hAnsi="Times New Roman"/>
          <w:sz w:val="24"/>
          <w:szCs w:val="24"/>
        </w:rPr>
        <w:t xml:space="preserve">održavanje trenda rasta poticaja u poljoprivredi, nove investicije i poticaj za ekološku i organsku proizvodnju, šumarstvo, drvnu industriju i sve vrste prerađivačke industrije; </w:t>
      </w:r>
    </w:p>
    <w:p w:rsidR="003C7F29"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i</w:t>
      </w:r>
      <w:r w:rsidRPr="008B14AC">
        <w:rPr>
          <w:rFonts w:ascii="Times New Roman" w:hAnsi="Times New Roman"/>
          <w:sz w:val="24"/>
          <w:szCs w:val="24"/>
        </w:rPr>
        <w:t>zgradnja cestovne infrastrukture s ciljem jednakomjerne prometne povezanosti svih gradova i općina Unsko-sanskog kantona sa vlastitim financijskim sredstvima kao i financijskim sredstvima koja će se tra</w:t>
      </w:r>
      <w:r>
        <w:rPr>
          <w:rFonts w:ascii="Times New Roman" w:hAnsi="Times New Roman"/>
          <w:sz w:val="24"/>
          <w:szCs w:val="24"/>
        </w:rPr>
        <w:t>žiti od federalnog nivoa vlasti;</w:t>
      </w:r>
    </w:p>
    <w:p w:rsidR="003C7F29" w:rsidRPr="000C0E06"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n</w:t>
      </w:r>
      <w:r w:rsidRPr="000C0E06">
        <w:rPr>
          <w:rFonts w:ascii="Times New Roman" w:hAnsi="Times New Roman"/>
          <w:sz w:val="24"/>
          <w:szCs w:val="24"/>
        </w:rPr>
        <w:t xml:space="preserve">edvosmislen zahtjev prema federalnim institucijama kako bi se javne investicije u Federaciji Bosne i Hercegovine distribuirale srazmjerno broju stanovnika; </w:t>
      </w:r>
    </w:p>
    <w:p w:rsidR="003C7F29"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s</w:t>
      </w:r>
      <w:r w:rsidRPr="008B14AC">
        <w:rPr>
          <w:rFonts w:ascii="Times New Roman" w:hAnsi="Times New Roman"/>
          <w:sz w:val="24"/>
          <w:szCs w:val="24"/>
        </w:rPr>
        <w:t xml:space="preserve">istemski razvoj turizma u Unsko-sanskom kantonu, posebno kroz snažno povezivanje poljoprivredne i prehrambene industrije i sektora turističkih usluga; </w:t>
      </w:r>
    </w:p>
    <w:p w:rsidR="003C7F29" w:rsidRPr="008B14AC"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d</w:t>
      </w:r>
      <w:r w:rsidRPr="008B14AC">
        <w:rPr>
          <w:rFonts w:ascii="Times New Roman" w:hAnsi="Times New Roman"/>
          <w:sz w:val="24"/>
          <w:szCs w:val="24"/>
        </w:rPr>
        <w:t>onošenje novog Zakona o turizmu Unsko-sanskog kantona;</w:t>
      </w:r>
    </w:p>
    <w:p w:rsidR="003C7F29" w:rsidRPr="008B14AC"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p</w:t>
      </w:r>
      <w:r w:rsidRPr="008B14AC">
        <w:rPr>
          <w:rFonts w:ascii="Times New Roman" w:hAnsi="Times New Roman"/>
          <w:sz w:val="24"/>
          <w:szCs w:val="24"/>
        </w:rPr>
        <w:t>lanski održivi razvoj i iskorištavanje prirodnog bogatsva vodeći računa o zaštiti okoliša, uvođenje reda u prostor i okoliš, te poduzimanje svih potrebnih mjera kako bi se spriječila neprimjerena devastacija prostora, u skladu s najboljom europskom praksom;</w:t>
      </w:r>
    </w:p>
    <w:p w:rsidR="003C7F29" w:rsidRPr="008B14AC"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o</w:t>
      </w:r>
      <w:r w:rsidRPr="008B14AC">
        <w:rPr>
          <w:rFonts w:ascii="Times New Roman" w:hAnsi="Times New Roman"/>
          <w:sz w:val="24"/>
          <w:szCs w:val="24"/>
        </w:rPr>
        <w:t xml:space="preserve">čuvanje dostojanstva porodica šehida, ratnih vojnih invalida i demobilisanih boraca uz ulaganje stalnog angažmana za poboljšanje statusa i stvaranje boljih životnih uslova za pripadnike boračkih populacija; </w:t>
      </w:r>
    </w:p>
    <w:p w:rsidR="003C7F29" w:rsidRPr="00722BE1" w:rsidRDefault="003C7F29" w:rsidP="003C7F29">
      <w:pPr>
        <w:pStyle w:val="ListParagraph"/>
        <w:numPr>
          <w:ilvl w:val="0"/>
          <w:numId w:val="18"/>
        </w:numPr>
        <w:jc w:val="both"/>
        <w:rPr>
          <w:rFonts w:ascii="Times New Roman" w:hAnsi="Times New Roman"/>
          <w:sz w:val="24"/>
          <w:szCs w:val="24"/>
        </w:rPr>
      </w:pPr>
      <w:r>
        <w:rPr>
          <w:rFonts w:ascii="Times New Roman" w:hAnsi="Times New Roman"/>
          <w:sz w:val="24"/>
          <w:szCs w:val="24"/>
        </w:rPr>
        <w:t>o</w:t>
      </w:r>
      <w:r w:rsidRPr="008B14AC">
        <w:rPr>
          <w:rFonts w:ascii="Times New Roman" w:hAnsi="Times New Roman"/>
          <w:sz w:val="24"/>
          <w:szCs w:val="24"/>
        </w:rPr>
        <w:t xml:space="preserve">čuvanje sjećanja i baštinjenje tekovina odbrambeno-oslobodilačkog rata te sistemsko uređenje i organizacijsko poboljšanje obilježavanja značajnih datuma na području Unsko-sanskog kantona; </w:t>
      </w:r>
    </w:p>
    <w:p w:rsidR="003C7F29" w:rsidRPr="000C0E06"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i</w:t>
      </w:r>
      <w:r w:rsidRPr="008B14AC">
        <w:rPr>
          <w:rFonts w:ascii="Times New Roman" w:hAnsi="Times New Roman"/>
          <w:sz w:val="24"/>
          <w:szCs w:val="24"/>
        </w:rPr>
        <w:t>zdvajanje zakonom utvrđenih financijskih sred</w:t>
      </w:r>
      <w:r>
        <w:rPr>
          <w:rFonts w:ascii="Times New Roman" w:hAnsi="Times New Roman"/>
          <w:sz w:val="24"/>
          <w:szCs w:val="24"/>
        </w:rPr>
        <w:t>stava za mlade, kulturu i sport, a</w:t>
      </w:r>
      <w:r w:rsidRPr="000C0E06">
        <w:rPr>
          <w:rFonts w:ascii="Times New Roman" w:hAnsi="Times New Roman"/>
          <w:sz w:val="24"/>
          <w:szCs w:val="24"/>
        </w:rPr>
        <w:t>ktivnija institucionalna podrška razvoju sporta i sportskim kolektivima na</w:t>
      </w:r>
      <w:r>
        <w:rPr>
          <w:rFonts w:ascii="Times New Roman" w:hAnsi="Times New Roman"/>
          <w:sz w:val="24"/>
          <w:szCs w:val="24"/>
        </w:rPr>
        <w:t xml:space="preserve"> području Unsko-sanskog kantona, s</w:t>
      </w:r>
      <w:r w:rsidRPr="000C0E06">
        <w:rPr>
          <w:rFonts w:ascii="Times New Roman" w:hAnsi="Times New Roman"/>
          <w:sz w:val="24"/>
          <w:szCs w:val="24"/>
        </w:rPr>
        <w:t>nažnija podrška institucijama kulture i značajnija ulaganja u objekte kulture i prirodne baštine;</w:t>
      </w:r>
    </w:p>
    <w:p w:rsidR="003C7F29" w:rsidRPr="008B14AC" w:rsidRDefault="003C7F29" w:rsidP="003C7F2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i</w:t>
      </w:r>
      <w:r w:rsidRPr="008B14AC">
        <w:rPr>
          <w:rFonts w:ascii="Times New Roman" w:hAnsi="Times New Roman"/>
          <w:sz w:val="24"/>
          <w:szCs w:val="24"/>
        </w:rPr>
        <w:t xml:space="preserve">zgradnja partnerskog odnosa sa bosanskohercegovačkom dijasporom; </w:t>
      </w:r>
    </w:p>
    <w:p w:rsidR="005F4519" w:rsidRPr="005F4519" w:rsidRDefault="003C7F29" w:rsidP="00457A9E">
      <w:pPr>
        <w:pStyle w:val="ListParagraph"/>
        <w:numPr>
          <w:ilvl w:val="0"/>
          <w:numId w:val="18"/>
        </w:numPr>
        <w:jc w:val="both"/>
        <w:rPr>
          <w:sz w:val="24"/>
          <w:szCs w:val="24"/>
        </w:rPr>
      </w:pPr>
      <w:r w:rsidRPr="00457A9E">
        <w:rPr>
          <w:rFonts w:ascii="Times New Roman" w:hAnsi="Times New Roman"/>
          <w:sz w:val="24"/>
          <w:szCs w:val="24"/>
        </w:rPr>
        <w:t xml:space="preserve">poduzimanje svih raspoloživih mjera, shodno ustavnim nadležnostima Unsko-sanskog kantona s ciljem spriječavanja odlaganja/skladištenja radioaktivnog i nuklearnog otpada u blizini granice s Bosnom i Hercegovinom.  </w:t>
      </w:r>
    </w:p>
    <w:p w:rsidR="005F4519" w:rsidRDefault="005F4519" w:rsidP="005F4519">
      <w:pPr>
        <w:pStyle w:val="ListParagraph"/>
        <w:jc w:val="both"/>
        <w:rPr>
          <w:rFonts w:ascii="Times New Roman" w:hAnsi="Times New Roman"/>
          <w:sz w:val="24"/>
          <w:szCs w:val="24"/>
        </w:rPr>
      </w:pPr>
    </w:p>
    <w:p w:rsidR="005F4519" w:rsidRPr="002F510A" w:rsidRDefault="005F4519" w:rsidP="005F4519">
      <w:pPr>
        <w:pStyle w:val="ListParagraph"/>
        <w:ind w:left="7080"/>
        <w:jc w:val="both"/>
        <w:rPr>
          <w:rFonts w:ascii="Times New Roman" w:hAnsi="Times New Roman"/>
          <w:sz w:val="24"/>
          <w:szCs w:val="24"/>
          <w:u w:val="single"/>
        </w:rPr>
      </w:pPr>
      <w:r>
        <w:rPr>
          <w:rFonts w:ascii="Times New Roman" w:hAnsi="Times New Roman"/>
          <w:sz w:val="24"/>
          <w:szCs w:val="24"/>
        </w:rPr>
        <w:t xml:space="preserve">      </w:t>
      </w:r>
      <w:r w:rsidRPr="002F510A">
        <w:rPr>
          <w:rFonts w:ascii="Times New Roman" w:hAnsi="Times New Roman"/>
          <w:sz w:val="24"/>
          <w:szCs w:val="24"/>
          <w:u w:val="single"/>
        </w:rPr>
        <w:t>MINISTAR</w:t>
      </w:r>
    </w:p>
    <w:p w:rsidR="005F4519" w:rsidRPr="005F4519" w:rsidRDefault="005F4519" w:rsidP="005F4519">
      <w:pPr>
        <w:pStyle w:val="ListParagraph"/>
        <w:ind w:left="7080"/>
        <w:jc w:val="both"/>
        <w:rPr>
          <w:sz w:val="24"/>
          <w:szCs w:val="24"/>
        </w:rPr>
      </w:pPr>
      <w:r>
        <w:rPr>
          <w:rFonts w:ascii="Times New Roman" w:hAnsi="Times New Roman"/>
          <w:sz w:val="24"/>
          <w:szCs w:val="24"/>
        </w:rPr>
        <w:t>dr.sci.Vedran Prša</w:t>
      </w:r>
      <w:r w:rsidR="003C7F29" w:rsidRPr="00457A9E">
        <w:rPr>
          <w:rFonts w:ascii="Times New Roman" w:hAnsi="Times New Roman"/>
          <w:sz w:val="24"/>
          <w:szCs w:val="24"/>
        </w:rPr>
        <w:t xml:space="preserve">  </w:t>
      </w:r>
    </w:p>
    <w:p w:rsidR="005F4519" w:rsidRDefault="005F4519" w:rsidP="005F4519">
      <w:pPr>
        <w:pStyle w:val="ListParagraph"/>
        <w:jc w:val="both"/>
        <w:rPr>
          <w:rFonts w:ascii="Times New Roman" w:hAnsi="Times New Roman"/>
          <w:sz w:val="24"/>
          <w:szCs w:val="24"/>
        </w:rPr>
      </w:pPr>
    </w:p>
    <w:p w:rsidR="003B7CD9" w:rsidRDefault="003B7CD9" w:rsidP="005F4519">
      <w:pPr>
        <w:pStyle w:val="ListParagraph"/>
        <w:jc w:val="both"/>
        <w:rPr>
          <w:rFonts w:ascii="Times New Roman" w:hAnsi="Times New Roman"/>
          <w:sz w:val="24"/>
          <w:szCs w:val="24"/>
        </w:rPr>
      </w:pPr>
    </w:p>
    <w:p w:rsidR="003B7CD9" w:rsidRDefault="003B7CD9" w:rsidP="005F4519">
      <w:pPr>
        <w:pStyle w:val="ListParagraph"/>
        <w:jc w:val="both"/>
        <w:rPr>
          <w:rFonts w:ascii="Times New Roman" w:hAnsi="Times New Roman"/>
          <w:sz w:val="24"/>
          <w:szCs w:val="24"/>
        </w:rPr>
      </w:pPr>
    </w:p>
    <w:p w:rsidR="005F4526" w:rsidRPr="00457A9E" w:rsidRDefault="005F4526" w:rsidP="005F4519">
      <w:pPr>
        <w:pStyle w:val="ListParagraph"/>
        <w:ind w:left="0"/>
        <w:jc w:val="both"/>
        <w:rPr>
          <w:sz w:val="24"/>
          <w:szCs w:val="24"/>
        </w:rPr>
      </w:pPr>
      <w:r w:rsidRPr="00457A9E">
        <w:rPr>
          <w:sz w:val="24"/>
          <w:szCs w:val="24"/>
        </w:rPr>
        <w:tab/>
      </w:r>
      <w:r w:rsidRPr="00457A9E">
        <w:rPr>
          <w:sz w:val="24"/>
          <w:szCs w:val="24"/>
        </w:rPr>
        <w:tab/>
      </w:r>
    </w:p>
    <w:p w:rsidR="00F66780" w:rsidRDefault="00E92BCB" w:rsidP="00F66780">
      <w:pPr>
        <w:ind w:left="2124" w:firstLine="708"/>
        <w:jc w:val="both"/>
        <w:rPr>
          <w:b/>
          <w:sz w:val="24"/>
          <w:szCs w:val="24"/>
          <w:u w:val="single"/>
        </w:rPr>
      </w:pPr>
      <w:r>
        <w:rPr>
          <w:b/>
          <w:sz w:val="24"/>
          <w:szCs w:val="24"/>
          <w:u w:val="single"/>
        </w:rPr>
        <w:lastRenderedPageBreak/>
        <w:t xml:space="preserve">III   </w:t>
      </w:r>
      <w:r w:rsidR="00F66780" w:rsidRPr="00D203B4">
        <w:rPr>
          <w:b/>
          <w:sz w:val="24"/>
          <w:szCs w:val="24"/>
          <w:u w:val="single"/>
        </w:rPr>
        <w:t>LISTA SKRAĆENICA:</w:t>
      </w:r>
    </w:p>
    <w:p w:rsidR="00E92BCB" w:rsidRPr="00D203B4" w:rsidRDefault="00E92BCB" w:rsidP="00F66780">
      <w:pPr>
        <w:ind w:left="2124" w:firstLine="708"/>
        <w:jc w:val="both"/>
        <w:rPr>
          <w:b/>
          <w:sz w:val="24"/>
          <w:szCs w:val="24"/>
          <w:u w:val="single"/>
        </w:rPr>
      </w:pPr>
    </w:p>
    <w:p w:rsidR="00F66780" w:rsidRPr="00D203B4" w:rsidRDefault="00F66780" w:rsidP="00F66780">
      <w:pPr>
        <w:jc w:val="both"/>
        <w:rPr>
          <w:sz w:val="24"/>
          <w:szCs w:val="24"/>
        </w:rPr>
      </w:pPr>
      <w:r w:rsidRPr="00D203B4">
        <w:rPr>
          <w:sz w:val="24"/>
          <w:szCs w:val="24"/>
        </w:rPr>
        <w:t>BDP – Bruto domaći proizvod</w:t>
      </w:r>
    </w:p>
    <w:p w:rsidR="00F66780" w:rsidRPr="00D203B4" w:rsidRDefault="00F66780" w:rsidP="00F66780">
      <w:pPr>
        <w:jc w:val="both"/>
        <w:rPr>
          <w:sz w:val="24"/>
          <w:szCs w:val="24"/>
        </w:rPr>
      </w:pPr>
      <w:r w:rsidRPr="00D203B4">
        <w:rPr>
          <w:sz w:val="24"/>
          <w:szCs w:val="24"/>
        </w:rPr>
        <w:t>BDV – Bruto dodana vrijednost</w:t>
      </w:r>
    </w:p>
    <w:p w:rsidR="00F66780" w:rsidRPr="00D203B4" w:rsidRDefault="00F66780" w:rsidP="00F66780">
      <w:pPr>
        <w:jc w:val="both"/>
        <w:rPr>
          <w:sz w:val="24"/>
          <w:szCs w:val="24"/>
        </w:rPr>
      </w:pPr>
      <w:r w:rsidRPr="00D203B4">
        <w:rPr>
          <w:sz w:val="24"/>
          <w:szCs w:val="24"/>
        </w:rPr>
        <w:t xml:space="preserve">BHAS – Agencija za statistiku Bosne i Hercegovine </w:t>
      </w:r>
    </w:p>
    <w:p w:rsidR="00F66780" w:rsidRPr="00D203B4" w:rsidRDefault="00F66780" w:rsidP="00F66780">
      <w:pPr>
        <w:jc w:val="both"/>
        <w:rPr>
          <w:sz w:val="24"/>
          <w:szCs w:val="24"/>
        </w:rPr>
      </w:pPr>
      <w:r w:rsidRPr="00D203B4">
        <w:rPr>
          <w:sz w:val="24"/>
          <w:szCs w:val="24"/>
        </w:rPr>
        <w:t xml:space="preserve">BiH – Bosna i Hercegovina </w:t>
      </w:r>
    </w:p>
    <w:p w:rsidR="00F66780" w:rsidRPr="00D203B4" w:rsidRDefault="00F66780" w:rsidP="00F66780">
      <w:pPr>
        <w:jc w:val="both"/>
        <w:rPr>
          <w:sz w:val="24"/>
          <w:szCs w:val="24"/>
        </w:rPr>
      </w:pPr>
      <w:r w:rsidRPr="00D203B4">
        <w:rPr>
          <w:sz w:val="24"/>
          <w:szCs w:val="24"/>
        </w:rPr>
        <w:t>CBBiH – Centralna banka Bosne i Hercegovine</w:t>
      </w:r>
    </w:p>
    <w:p w:rsidR="00F66780" w:rsidRPr="00D203B4" w:rsidRDefault="00F66780" w:rsidP="00F66780">
      <w:pPr>
        <w:jc w:val="both"/>
        <w:rPr>
          <w:sz w:val="24"/>
          <w:szCs w:val="24"/>
        </w:rPr>
      </w:pPr>
      <w:r w:rsidRPr="00D203B4">
        <w:rPr>
          <w:sz w:val="24"/>
          <w:szCs w:val="24"/>
        </w:rPr>
        <w:t>CEFTA – Srednjoevropski sporazum o slobodnoj trgovini</w:t>
      </w:r>
    </w:p>
    <w:p w:rsidR="00F66780" w:rsidRDefault="00F66780" w:rsidP="00F66780">
      <w:pPr>
        <w:jc w:val="both"/>
        <w:rPr>
          <w:sz w:val="24"/>
          <w:szCs w:val="24"/>
        </w:rPr>
      </w:pPr>
      <w:r w:rsidRPr="00D203B4">
        <w:rPr>
          <w:sz w:val="24"/>
          <w:szCs w:val="24"/>
        </w:rPr>
        <w:t>CPI – Indeks potrošačkih cijena</w:t>
      </w:r>
    </w:p>
    <w:p w:rsidR="00F66780" w:rsidRDefault="00F66780" w:rsidP="00F66780">
      <w:pPr>
        <w:jc w:val="both"/>
        <w:rPr>
          <w:sz w:val="24"/>
          <w:szCs w:val="24"/>
        </w:rPr>
      </w:pPr>
      <w:r>
        <w:rPr>
          <w:sz w:val="24"/>
          <w:szCs w:val="24"/>
        </w:rPr>
        <w:t>DEP – Direkcija za ekonomsko planiranje</w:t>
      </w:r>
    </w:p>
    <w:p w:rsidR="00F66780" w:rsidRPr="00D203B4" w:rsidRDefault="00F66780" w:rsidP="00F66780">
      <w:pPr>
        <w:jc w:val="both"/>
        <w:rPr>
          <w:sz w:val="24"/>
          <w:szCs w:val="24"/>
        </w:rPr>
      </w:pPr>
      <w:r>
        <w:rPr>
          <w:sz w:val="24"/>
          <w:szCs w:val="24"/>
        </w:rPr>
        <w:t xml:space="preserve">DG ECFIN ( Directorate general for economic and financial affeirs ) – Glavna uprava evropske komisije za ekonomske i finansijske poslove </w:t>
      </w:r>
    </w:p>
    <w:p w:rsidR="00F66780" w:rsidRPr="00D203B4" w:rsidRDefault="00F66780" w:rsidP="00F66780">
      <w:pPr>
        <w:jc w:val="both"/>
        <w:rPr>
          <w:sz w:val="24"/>
          <w:szCs w:val="24"/>
        </w:rPr>
      </w:pPr>
      <w:r w:rsidRPr="00D203B4">
        <w:rPr>
          <w:sz w:val="24"/>
          <w:szCs w:val="24"/>
        </w:rPr>
        <w:t>DOB – Dokument okvirnog budžeta</w:t>
      </w:r>
    </w:p>
    <w:p w:rsidR="00F66780" w:rsidRPr="00D203B4" w:rsidRDefault="00F66780" w:rsidP="00F66780">
      <w:pPr>
        <w:jc w:val="both"/>
        <w:rPr>
          <w:sz w:val="24"/>
          <w:szCs w:val="24"/>
        </w:rPr>
      </w:pPr>
      <w:r w:rsidRPr="00D203B4">
        <w:rPr>
          <w:sz w:val="24"/>
          <w:szCs w:val="24"/>
        </w:rPr>
        <w:t>DSU – Direktna strana ulaganja</w:t>
      </w:r>
    </w:p>
    <w:p w:rsidR="00F66780" w:rsidRPr="00D203B4" w:rsidRDefault="00F66780" w:rsidP="00F66780">
      <w:pPr>
        <w:jc w:val="both"/>
        <w:rPr>
          <w:sz w:val="24"/>
          <w:szCs w:val="24"/>
        </w:rPr>
      </w:pPr>
      <w:r w:rsidRPr="00D203B4">
        <w:rPr>
          <w:sz w:val="24"/>
          <w:szCs w:val="24"/>
        </w:rPr>
        <w:t xml:space="preserve">EBRD – Evropska banka za obnovu i razvoj </w:t>
      </w:r>
    </w:p>
    <w:p w:rsidR="00F66780" w:rsidRDefault="00F66780" w:rsidP="00F66780">
      <w:pPr>
        <w:jc w:val="both"/>
        <w:rPr>
          <w:sz w:val="24"/>
          <w:szCs w:val="24"/>
        </w:rPr>
      </w:pPr>
      <w:r w:rsidRPr="00D203B4">
        <w:rPr>
          <w:sz w:val="24"/>
          <w:szCs w:val="24"/>
        </w:rPr>
        <w:t>EC – Evropska komisija</w:t>
      </w:r>
    </w:p>
    <w:p w:rsidR="00F66780" w:rsidRPr="00D203B4" w:rsidRDefault="00F66780" w:rsidP="00F66780">
      <w:pPr>
        <w:jc w:val="both"/>
        <w:rPr>
          <w:sz w:val="24"/>
          <w:szCs w:val="24"/>
        </w:rPr>
      </w:pPr>
      <w:r>
        <w:rPr>
          <w:sz w:val="24"/>
          <w:szCs w:val="24"/>
        </w:rPr>
        <w:t>EFTA ( European free trade association ) – Evropska slobodna trgovinska zona</w:t>
      </w:r>
      <w:r w:rsidRPr="00D203B4">
        <w:rPr>
          <w:sz w:val="24"/>
          <w:szCs w:val="24"/>
        </w:rPr>
        <w:t xml:space="preserve"> </w:t>
      </w:r>
    </w:p>
    <w:p w:rsidR="00F66780" w:rsidRDefault="00F66780" w:rsidP="00F66780">
      <w:pPr>
        <w:jc w:val="both"/>
        <w:rPr>
          <w:sz w:val="24"/>
          <w:szCs w:val="24"/>
        </w:rPr>
      </w:pPr>
      <w:r w:rsidRPr="00D203B4">
        <w:rPr>
          <w:sz w:val="24"/>
          <w:szCs w:val="24"/>
        </w:rPr>
        <w:t>EU – Evropska unija</w:t>
      </w:r>
    </w:p>
    <w:p w:rsidR="00F66780" w:rsidRPr="00D203B4" w:rsidRDefault="00F66780" w:rsidP="00F66780">
      <w:pPr>
        <w:jc w:val="both"/>
        <w:rPr>
          <w:sz w:val="24"/>
          <w:szCs w:val="24"/>
        </w:rPr>
      </w:pPr>
      <w:r>
        <w:rPr>
          <w:sz w:val="24"/>
          <w:szCs w:val="24"/>
        </w:rPr>
        <w:t>GIG Agregati – Glavne industrijske skupine</w:t>
      </w:r>
    </w:p>
    <w:p w:rsidR="00F66780" w:rsidRDefault="00F66780" w:rsidP="00F66780">
      <w:pPr>
        <w:jc w:val="both"/>
        <w:rPr>
          <w:sz w:val="24"/>
          <w:szCs w:val="24"/>
        </w:rPr>
      </w:pPr>
      <w:r w:rsidRPr="00D203B4">
        <w:rPr>
          <w:sz w:val="24"/>
          <w:szCs w:val="24"/>
        </w:rPr>
        <w:t>FBiH – Federacija Bosne i Hercegovine</w:t>
      </w:r>
    </w:p>
    <w:p w:rsidR="00F66780" w:rsidRDefault="00F66780" w:rsidP="00F66780">
      <w:pPr>
        <w:jc w:val="both"/>
        <w:rPr>
          <w:sz w:val="24"/>
          <w:szCs w:val="24"/>
        </w:rPr>
      </w:pPr>
      <w:r>
        <w:rPr>
          <w:sz w:val="24"/>
          <w:szCs w:val="24"/>
        </w:rPr>
        <w:t>JCI – Jedinstvena carinska isprava</w:t>
      </w:r>
    </w:p>
    <w:p w:rsidR="00F66780" w:rsidRPr="00D203B4" w:rsidRDefault="00F66780" w:rsidP="00F66780">
      <w:pPr>
        <w:jc w:val="both"/>
        <w:rPr>
          <w:sz w:val="24"/>
          <w:szCs w:val="24"/>
        </w:rPr>
      </w:pPr>
      <w:r>
        <w:rPr>
          <w:sz w:val="24"/>
          <w:szCs w:val="24"/>
        </w:rPr>
        <w:t>KD BiH – Klasifikacija djelatnosti Bosne i Hercegovine</w:t>
      </w:r>
    </w:p>
    <w:p w:rsidR="00F66780" w:rsidRDefault="00F66780" w:rsidP="00F66780">
      <w:pPr>
        <w:jc w:val="both"/>
        <w:rPr>
          <w:sz w:val="24"/>
          <w:szCs w:val="24"/>
        </w:rPr>
      </w:pPr>
      <w:r w:rsidRPr="00D203B4">
        <w:rPr>
          <w:sz w:val="24"/>
          <w:szCs w:val="24"/>
        </w:rPr>
        <w:t>KM – Konvertibilna marka</w:t>
      </w:r>
    </w:p>
    <w:p w:rsidR="00F66780" w:rsidRPr="00D203B4" w:rsidRDefault="00F66780" w:rsidP="00F66780">
      <w:pPr>
        <w:jc w:val="both"/>
        <w:rPr>
          <w:sz w:val="24"/>
          <w:szCs w:val="24"/>
        </w:rPr>
      </w:pPr>
      <w:r>
        <w:rPr>
          <w:sz w:val="24"/>
          <w:szCs w:val="24"/>
        </w:rPr>
        <w:t>M</w:t>
      </w:r>
      <w:r w:rsidRPr="00D203B4">
        <w:rPr>
          <w:sz w:val="24"/>
          <w:szCs w:val="24"/>
        </w:rPr>
        <w:t>MF – Međunarodni monetarni fond</w:t>
      </w:r>
    </w:p>
    <w:p w:rsidR="00F66780" w:rsidRPr="00D203B4" w:rsidRDefault="00F66780" w:rsidP="00F66780">
      <w:pPr>
        <w:jc w:val="both"/>
        <w:rPr>
          <w:sz w:val="24"/>
          <w:szCs w:val="24"/>
        </w:rPr>
      </w:pPr>
      <w:r w:rsidRPr="00D203B4">
        <w:rPr>
          <w:sz w:val="24"/>
          <w:szCs w:val="24"/>
        </w:rPr>
        <w:t>MVTEO – Ministarstvo vanjske trgovine i ekonomskih odnosa</w:t>
      </w:r>
    </w:p>
    <w:p w:rsidR="00F66780" w:rsidRPr="00D203B4" w:rsidRDefault="00F66780" w:rsidP="00F66780">
      <w:pPr>
        <w:jc w:val="both"/>
        <w:rPr>
          <w:sz w:val="24"/>
          <w:szCs w:val="24"/>
        </w:rPr>
      </w:pPr>
      <w:r w:rsidRPr="00D203B4">
        <w:rPr>
          <w:sz w:val="24"/>
          <w:szCs w:val="24"/>
        </w:rPr>
        <w:t xml:space="preserve">OMA – Odjel za makroekonomsku analizu Upravnog odbora Uprave za indirektno </w:t>
      </w:r>
      <w:r>
        <w:rPr>
          <w:sz w:val="24"/>
          <w:szCs w:val="24"/>
        </w:rPr>
        <w:t xml:space="preserve">  </w:t>
      </w:r>
      <w:r w:rsidRPr="00D203B4">
        <w:rPr>
          <w:sz w:val="24"/>
          <w:szCs w:val="24"/>
        </w:rPr>
        <w:t>oporezivanje</w:t>
      </w:r>
    </w:p>
    <w:p w:rsidR="00F66780" w:rsidRPr="00D203B4" w:rsidRDefault="00F66780" w:rsidP="00F66780">
      <w:pPr>
        <w:jc w:val="both"/>
        <w:rPr>
          <w:sz w:val="24"/>
          <w:szCs w:val="24"/>
        </w:rPr>
      </w:pPr>
      <w:r w:rsidRPr="00D203B4">
        <w:rPr>
          <w:sz w:val="24"/>
          <w:szCs w:val="24"/>
        </w:rPr>
        <w:t xml:space="preserve">OR – Obavezne rezerve </w:t>
      </w:r>
    </w:p>
    <w:p w:rsidR="00F66780" w:rsidRPr="00D203B4" w:rsidRDefault="00F66780" w:rsidP="00F66780">
      <w:pPr>
        <w:jc w:val="both"/>
        <w:rPr>
          <w:sz w:val="24"/>
          <w:szCs w:val="24"/>
        </w:rPr>
      </w:pPr>
      <w:r w:rsidRPr="00D203B4">
        <w:rPr>
          <w:sz w:val="24"/>
          <w:szCs w:val="24"/>
        </w:rPr>
        <w:t xml:space="preserve">PDV – Porez na dodanu vrijednost </w:t>
      </w:r>
    </w:p>
    <w:p w:rsidR="00F66780" w:rsidRPr="00D203B4" w:rsidRDefault="00F66780" w:rsidP="00F66780">
      <w:pPr>
        <w:jc w:val="both"/>
        <w:rPr>
          <w:sz w:val="24"/>
          <w:szCs w:val="24"/>
        </w:rPr>
      </w:pPr>
      <w:r w:rsidRPr="00D203B4">
        <w:rPr>
          <w:sz w:val="24"/>
          <w:szCs w:val="24"/>
        </w:rPr>
        <w:t xml:space="preserve">PJI – Program javnih investicija </w:t>
      </w:r>
    </w:p>
    <w:p w:rsidR="00F66780" w:rsidRPr="00D203B4" w:rsidRDefault="00F66780" w:rsidP="00F66780">
      <w:pPr>
        <w:jc w:val="both"/>
        <w:rPr>
          <w:sz w:val="24"/>
          <w:szCs w:val="24"/>
        </w:rPr>
      </w:pPr>
      <w:r w:rsidRPr="00D203B4">
        <w:rPr>
          <w:sz w:val="24"/>
          <w:szCs w:val="24"/>
        </w:rPr>
        <w:t xml:space="preserve">SB – Svjetska banka </w:t>
      </w:r>
    </w:p>
    <w:p w:rsidR="00F66780" w:rsidRPr="00D203B4" w:rsidRDefault="00F66780" w:rsidP="00F66780">
      <w:pPr>
        <w:jc w:val="both"/>
        <w:rPr>
          <w:sz w:val="24"/>
          <w:szCs w:val="24"/>
        </w:rPr>
      </w:pPr>
      <w:r w:rsidRPr="00D203B4">
        <w:rPr>
          <w:sz w:val="24"/>
          <w:szCs w:val="24"/>
        </w:rPr>
        <w:t>SOR – Srednjoročni okvir rashoda</w:t>
      </w:r>
    </w:p>
    <w:p w:rsidR="00F66780" w:rsidRPr="00D203B4" w:rsidRDefault="00F66780" w:rsidP="00F66780">
      <w:pPr>
        <w:jc w:val="both"/>
        <w:rPr>
          <w:sz w:val="24"/>
          <w:szCs w:val="24"/>
        </w:rPr>
      </w:pPr>
      <w:r w:rsidRPr="00D203B4">
        <w:rPr>
          <w:sz w:val="24"/>
          <w:szCs w:val="24"/>
        </w:rPr>
        <w:t xml:space="preserve">SRS – Srednjoročna razvojna strategija </w:t>
      </w:r>
    </w:p>
    <w:p w:rsidR="00F66780" w:rsidRPr="00D203B4" w:rsidRDefault="00F66780" w:rsidP="00F66780">
      <w:pPr>
        <w:jc w:val="both"/>
        <w:rPr>
          <w:sz w:val="24"/>
          <w:szCs w:val="24"/>
        </w:rPr>
      </w:pPr>
      <w:r w:rsidRPr="00D203B4">
        <w:rPr>
          <w:sz w:val="24"/>
          <w:szCs w:val="24"/>
        </w:rPr>
        <w:t xml:space="preserve">SSP – Sporazum o stabilizaciji i pridruživanju </w:t>
      </w:r>
    </w:p>
    <w:p w:rsidR="00F66780" w:rsidRPr="00D203B4" w:rsidRDefault="00F66780" w:rsidP="00F66780">
      <w:pPr>
        <w:jc w:val="both"/>
        <w:rPr>
          <w:sz w:val="24"/>
          <w:szCs w:val="24"/>
        </w:rPr>
      </w:pPr>
      <w:r w:rsidRPr="00D203B4">
        <w:rPr>
          <w:sz w:val="24"/>
          <w:szCs w:val="24"/>
        </w:rPr>
        <w:t xml:space="preserve">SST – Sporazum o slobodnoj trgovini </w:t>
      </w:r>
    </w:p>
    <w:p w:rsidR="00F66780" w:rsidRPr="00D203B4" w:rsidRDefault="00F66780" w:rsidP="00F66780">
      <w:pPr>
        <w:jc w:val="both"/>
        <w:rPr>
          <w:sz w:val="24"/>
          <w:szCs w:val="24"/>
        </w:rPr>
      </w:pPr>
      <w:r w:rsidRPr="00D203B4">
        <w:rPr>
          <w:sz w:val="24"/>
          <w:szCs w:val="24"/>
        </w:rPr>
        <w:t>UIO – Uprava za indirektno oporezivanje BiH</w:t>
      </w:r>
    </w:p>
    <w:p w:rsidR="00F66780" w:rsidRPr="00D203B4" w:rsidRDefault="00F66780" w:rsidP="00F66780">
      <w:pPr>
        <w:jc w:val="both"/>
        <w:rPr>
          <w:sz w:val="24"/>
          <w:szCs w:val="24"/>
        </w:rPr>
      </w:pPr>
      <w:r w:rsidRPr="00D203B4">
        <w:rPr>
          <w:sz w:val="24"/>
          <w:szCs w:val="24"/>
        </w:rPr>
        <w:t xml:space="preserve">USAID – Agencija Sjedinjenih Američkih Država za međunarodni razvoj </w:t>
      </w:r>
    </w:p>
    <w:p w:rsidR="00F66780" w:rsidRPr="00D203B4" w:rsidRDefault="00F66780" w:rsidP="00F66780">
      <w:pPr>
        <w:jc w:val="both"/>
        <w:rPr>
          <w:sz w:val="24"/>
          <w:szCs w:val="24"/>
        </w:rPr>
      </w:pPr>
      <w:r w:rsidRPr="00D203B4">
        <w:rPr>
          <w:sz w:val="24"/>
          <w:szCs w:val="24"/>
        </w:rPr>
        <w:t>P1 – Prva polovina godine</w:t>
      </w:r>
    </w:p>
    <w:p w:rsidR="00F66780" w:rsidRPr="00D203B4" w:rsidRDefault="00F66780" w:rsidP="00F66780">
      <w:pPr>
        <w:jc w:val="both"/>
        <w:rPr>
          <w:sz w:val="24"/>
          <w:szCs w:val="24"/>
        </w:rPr>
      </w:pPr>
      <w:r w:rsidRPr="00D203B4">
        <w:rPr>
          <w:sz w:val="24"/>
          <w:szCs w:val="24"/>
        </w:rPr>
        <w:t>P2 – Druga polovina godine</w:t>
      </w:r>
    </w:p>
    <w:p w:rsidR="00F66780" w:rsidRPr="00D203B4" w:rsidRDefault="00F66780" w:rsidP="00F66780">
      <w:pPr>
        <w:jc w:val="both"/>
        <w:rPr>
          <w:sz w:val="24"/>
          <w:szCs w:val="24"/>
        </w:rPr>
      </w:pPr>
      <w:r w:rsidRPr="00D203B4">
        <w:rPr>
          <w:sz w:val="24"/>
          <w:szCs w:val="24"/>
        </w:rPr>
        <w:t>K1 – Prvi kvartal godine</w:t>
      </w:r>
    </w:p>
    <w:p w:rsidR="00F66780" w:rsidRPr="00D203B4" w:rsidRDefault="00F66780" w:rsidP="00F66780">
      <w:pPr>
        <w:jc w:val="both"/>
        <w:rPr>
          <w:sz w:val="24"/>
          <w:szCs w:val="24"/>
        </w:rPr>
      </w:pPr>
      <w:r w:rsidRPr="00D203B4">
        <w:rPr>
          <w:sz w:val="24"/>
          <w:szCs w:val="24"/>
        </w:rPr>
        <w:t xml:space="preserve">K2 – Drugi kvartal godine </w:t>
      </w:r>
    </w:p>
    <w:p w:rsidR="00F66780" w:rsidRPr="00D203B4" w:rsidRDefault="00F66780" w:rsidP="00F66780">
      <w:pPr>
        <w:jc w:val="both"/>
        <w:rPr>
          <w:sz w:val="24"/>
          <w:szCs w:val="24"/>
        </w:rPr>
      </w:pPr>
      <w:r w:rsidRPr="00D203B4">
        <w:rPr>
          <w:sz w:val="24"/>
          <w:szCs w:val="24"/>
        </w:rPr>
        <w:t>K3 – Treći kvartal godine</w:t>
      </w:r>
    </w:p>
    <w:p w:rsidR="00F66780" w:rsidRPr="00D203B4" w:rsidRDefault="00F66780" w:rsidP="00F66780">
      <w:pPr>
        <w:jc w:val="both"/>
        <w:rPr>
          <w:sz w:val="24"/>
          <w:szCs w:val="24"/>
        </w:rPr>
      </w:pPr>
      <w:r w:rsidRPr="00D203B4">
        <w:rPr>
          <w:sz w:val="24"/>
          <w:szCs w:val="24"/>
        </w:rPr>
        <w:t xml:space="preserve">K4 – Četvrti kvartal godine </w:t>
      </w:r>
    </w:p>
    <w:p w:rsidR="00F66780" w:rsidRPr="00D203B4" w:rsidRDefault="00F66780" w:rsidP="00F66780">
      <w:pPr>
        <w:jc w:val="both"/>
        <w:rPr>
          <w:sz w:val="24"/>
          <w:szCs w:val="24"/>
        </w:rPr>
      </w:pPr>
      <w:r w:rsidRPr="00D203B4">
        <w:rPr>
          <w:sz w:val="24"/>
          <w:szCs w:val="24"/>
        </w:rPr>
        <w:t xml:space="preserve">mKM – Milioni KM </w:t>
      </w:r>
    </w:p>
    <w:p w:rsidR="00F66780" w:rsidRPr="00D203B4" w:rsidRDefault="00F66780" w:rsidP="00F66780">
      <w:pPr>
        <w:jc w:val="both"/>
        <w:rPr>
          <w:sz w:val="24"/>
          <w:szCs w:val="24"/>
        </w:rPr>
      </w:pPr>
      <w:r w:rsidRPr="00D203B4">
        <w:rPr>
          <w:sz w:val="24"/>
          <w:szCs w:val="24"/>
        </w:rPr>
        <w:t xml:space="preserve">g/g – Stopa rasta koja podrazumijeva promjenu u odnosu na isti period prethodne godine </w:t>
      </w:r>
    </w:p>
    <w:p w:rsidR="00F66780" w:rsidRPr="00D203B4" w:rsidRDefault="00F66780" w:rsidP="00F66780">
      <w:pPr>
        <w:jc w:val="both"/>
        <w:rPr>
          <w:sz w:val="24"/>
          <w:szCs w:val="24"/>
        </w:rPr>
      </w:pPr>
      <w:r w:rsidRPr="00D203B4">
        <w:rPr>
          <w:sz w:val="24"/>
          <w:szCs w:val="24"/>
        </w:rPr>
        <w:t>m/m – stopa rasta koja podrazumijeva promjenu u odnosu na prethodni mjesec tekuće godine</w:t>
      </w:r>
    </w:p>
    <w:p w:rsidR="0029738F" w:rsidRDefault="0029738F" w:rsidP="006E76ED">
      <w:pPr>
        <w:rPr>
          <w:lang w:val="hr-BA"/>
        </w:rPr>
      </w:pPr>
    </w:p>
    <w:p w:rsidR="0029738F" w:rsidRDefault="0029738F" w:rsidP="006E76ED">
      <w:pPr>
        <w:rPr>
          <w:lang w:val="hr-BA"/>
        </w:rPr>
      </w:pPr>
    </w:p>
    <w:p w:rsidR="003B7CD9" w:rsidRDefault="003B7CD9" w:rsidP="006E76ED">
      <w:pPr>
        <w:rPr>
          <w:lang w:val="hr-BA"/>
        </w:rPr>
      </w:pPr>
    </w:p>
    <w:p w:rsidR="0029738F" w:rsidRDefault="0029738F" w:rsidP="006E76ED">
      <w:pPr>
        <w:rPr>
          <w:lang w:val="hr-BA"/>
        </w:rPr>
      </w:pPr>
    </w:p>
    <w:p w:rsidR="00E92BCB" w:rsidRPr="0057569A" w:rsidRDefault="00E92BCB" w:rsidP="00E92BCB">
      <w:pPr>
        <w:tabs>
          <w:tab w:val="left" w:pos="3915"/>
        </w:tabs>
        <w:rPr>
          <w:b/>
          <w:sz w:val="28"/>
          <w:szCs w:val="28"/>
          <w:lang w:val="hr-BA"/>
        </w:rPr>
      </w:pPr>
      <w:r w:rsidRPr="0057569A">
        <w:rPr>
          <w:b/>
          <w:sz w:val="28"/>
          <w:szCs w:val="28"/>
          <w:lang w:val="hr-BA"/>
        </w:rPr>
        <w:lastRenderedPageBreak/>
        <w:t>IV   DODATAK</w:t>
      </w:r>
    </w:p>
    <w:p w:rsidR="005E3ACF" w:rsidRDefault="005E3ACF" w:rsidP="006E76ED">
      <w:pPr>
        <w:tabs>
          <w:tab w:val="left" w:pos="3915"/>
        </w:tabs>
        <w:rPr>
          <w:lang w:val="hr-BA"/>
        </w:rPr>
      </w:pPr>
    </w:p>
    <w:p w:rsidR="00E92BCB" w:rsidRDefault="00E92BCB" w:rsidP="00887C88">
      <w:pPr>
        <w:numPr>
          <w:ilvl w:val="0"/>
          <w:numId w:val="10"/>
        </w:numPr>
        <w:tabs>
          <w:tab w:val="left" w:pos="312"/>
          <w:tab w:val="left" w:pos="546"/>
        </w:tabs>
        <w:jc w:val="both"/>
        <w:rPr>
          <w:noProof/>
          <w:sz w:val="28"/>
          <w:szCs w:val="28"/>
        </w:rPr>
      </w:pPr>
      <w:r>
        <w:rPr>
          <w:noProof/>
          <w:sz w:val="28"/>
          <w:szCs w:val="28"/>
        </w:rPr>
        <w:t>Konsolidovana tabela prihoda USK za period 20</w:t>
      </w:r>
      <w:r w:rsidR="00457A9E">
        <w:rPr>
          <w:noProof/>
          <w:sz w:val="28"/>
          <w:szCs w:val="28"/>
        </w:rPr>
        <w:t>20</w:t>
      </w:r>
      <w:r>
        <w:rPr>
          <w:noProof/>
          <w:sz w:val="28"/>
          <w:szCs w:val="28"/>
        </w:rPr>
        <w:t xml:space="preserve">. </w:t>
      </w:r>
      <w:r w:rsidR="000C2684">
        <w:rPr>
          <w:noProof/>
          <w:sz w:val="28"/>
          <w:szCs w:val="28"/>
        </w:rPr>
        <w:t>-</w:t>
      </w:r>
      <w:r>
        <w:rPr>
          <w:noProof/>
          <w:sz w:val="28"/>
          <w:szCs w:val="28"/>
        </w:rPr>
        <w:t xml:space="preserve"> 20</w:t>
      </w:r>
      <w:r w:rsidR="0083686B">
        <w:rPr>
          <w:noProof/>
          <w:sz w:val="28"/>
          <w:szCs w:val="28"/>
        </w:rPr>
        <w:t>2</w:t>
      </w:r>
      <w:r w:rsidR="00457A9E">
        <w:rPr>
          <w:noProof/>
          <w:sz w:val="28"/>
          <w:szCs w:val="28"/>
        </w:rPr>
        <w:t>3</w:t>
      </w:r>
      <w:r>
        <w:rPr>
          <w:noProof/>
          <w:sz w:val="28"/>
          <w:szCs w:val="28"/>
        </w:rPr>
        <w:t>. god.</w:t>
      </w:r>
    </w:p>
    <w:p w:rsidR="00492E6E" w:rsidRDefault="00E92BCB" w:rsidP="00887C88">
      <w:pPr>
        <w:numPr>
          <w:ilvl w:val="0"/>
          <w:numId w:val="10"/>
        </w:numPr>
        <w:tabs>
          <w:tab w:val="left" w:pos="312"/>
          <w:tab w:val="left" w:pos="546"/>
        </w:tabs>
        <w:jc w:val="both"/>
        <w:rPr>
          <w:noProof/>
          <w:sz w:val="28"/>
          <w:szCs w:val="28"/>
        </w:rPr>
      </w:pPr>
      <w:r>
        <w:rPr>
          <w:noProof/>
          <w:sz w:val="28"/>
          <w:szCs w:val="28"/>
        </w:rPr>
        <w:t>Konsolidovana tabela rashoda po ekonomskoj klasifikaciji za period</w:t>
      </w:r>
    </w:p>
    <w:p w:rsidR="00E92BCB" w:rsidRDefault="00E92BCB" w:rsidP="00492E6E">
      <w:pPr>
        <w:tabs>
          <w:tab w:val="left" w:pos="312"/>
          <w:tab w:val="left" w:pos="546"/>
        </w:tabs>
        <w:ind w:left="795"/>
        <w:jc w:val="both"/>
        <w:rPr>
          <w:noProof/>
          <w:sz w:val="28"/>
          <w:szCs w:val="28"/>
        </w:rPr>
      </w:pPr>
      <w:r>
        <w:rPr>
          <w:noProof/>
          <w:sz w:val="28"/>
          <w:szCs w:val="28"/>
        </w:rPr>
        <w:t>20</w:t>
      </w:r>
      <w:r w:rsidR="00457A9E">
        <w:rPr>
          <w:noProof/>
          <w:sz w:val="28"/>
          <w:szCs w:val="28"/>
        </w:rPr>
        <w:t>20</w:t>
      </w:r>
      <w:r>
        <w:rPr>
          <w:noProof/>
          <w:sz w:val="28"/>
          <w:szCs w:val="28"/>
        </w:rPr>
        <w:t xml:space="preserve">. </w:t>
      </w:r>
      <w:r w:rsidR="000C2684">
        <w:rPr>
          <w:noProof/>
          <w:sz w:val="28"/>
          <w:szCs w:val="28"/>
        </w:rPr>
        <w:t>-</w:t>
      </w:r>
      <w:r>
        <w:rPr>
          <w:noProof/>
          <w:sz w:val="28"/>
          <w:szCs w:val="28"/>
        </w:rPr>
        <w:t xml:space="preserve"> 20</w:t>
      </w:r>
      <w:r w:rsidR="0083686B">
        <w:rPr>
          <w:noProof/>
          <w:sz w:val="28"/>
          <w:szCs w:val="28"/>
        </w:rPr>
        <w:t>2</w:t>
      </w:r>
      <w:r w:rsidR="00457A9E">
        <w:rPr>
          <w:noProof/>
          <w:sz w:val="28"/>
          <w:szCs w:val="28"/>
        </w:rPr>
        <w:t>3</w:t>
      </w:r>
      <w:r>
        <w:rPr>
          <w:noProof/>
          <w:sz w:val="28"/>
          <w:szCs w:val="28"/>
        </w:rPr>
        <w:t>.</w:t>
      </w:r>
    </w:p>
    <w:p w:rsidR="00E92BCB" w:rsidRPr="00A80872" w:rsidRDefault="0083686B" w:rsidP="00887C88">
      <w:pPr>
        <w:numPr>
          <w:ilvl w:val="0"/>
          <w:numId w:val="10"/>
        </w:numPr>
        <w:tabs>
          <w:tab w:val="left" w:pos="312"/>
          <w:tab w:val="left" w:pos="546"/>
        </w:tabs>
        <w:jc w:val="both"/>
        <w:rPr>
          <w:noProof/>
          <w:sz w:val="28"/>
          <w:szCs w:val="28"/>
        </w:rPr>
      </w:pPr>
      <w:r>
        <w:rPr>
          <w:noProof/>
          <w:sz w:val="28"/>
          <w:szCs w:val="28"/>
        </w:rPr>
        <w:t xml:space="preserve"> </w:t>
      </w:r>
      <w:r w:rsidR="00A56B71">
        <w:rPr>
          <w:noProof/>
          <w:sz w:val="28"/>
          <w:szCs w:val="28"/>
        </w:rPr>
        <w:t xml:space="preserve">Pregled projekata </w:t>
      </w:r>
      <w:r w:rsidR="00430EBF">
        <w:rPr>
          <w:noProof/>
          <w:sz w:val="28"/>
          <w:szCs w:val="28"/>
        </w:rPr>
        <w:t xml:space="preserve">u implementaciji </w:t>
      </w:r>
      <w:r>
        <w:rPr>
          <w:noProof/>
          <w:sz w:val="28"/>
          <w:szCs w:val="28"/>
        </w:rPr>
        <w:t>za Program javnih investicija Unsko-sanskog kantona 202</w:t>
      </w:r>
      <w:r w:rsidR="00457A9E">
        <w:rPr>
          <w:noProof/>
          <w:sz w:val="28"/>
          <w:szCs w:val="28"/>
        </w:rPr>
        <w:t>1</w:t>
      </w:r>
      <w:r>
        <w:rPr>
          <w:noProof/>
          <w:sz w:val="28"/>
          <w:szCs w:val="28"/>
        </w:rPr>
        <w:t>-202</w:t>
      </w:r>
      <w:r w:rsidR="00457A9E">
        <w:rPr>
          <w:noProof/>
          <w:sz w:val="28"/>
          <w:szCs w:val="28"/>
        </w:rPr>
        <w:t>3</w:t>
      </w:r>
      <w:r>
        <w:rPr>
          <w:noProof/>
          <w:sz w:val="28"/>
          <w:szCs w:val="28"/>
        </w:rPr>
        <w:t>.</w:t>
      </w:r>
    </w:p>
    <w:p w:rsidR="00E92BCB" w:rsidRDefault="00E92BCB" w:rsidP="00E92BCB">
      <w:pPr>
        <w:tabs>
          <w:tab w:val="left" w:pos="312"/>
          <w:tab w:val="left" w:pos="546"/>
        </w:tabs>
        <w:rPr>
          <w:noProof/>
          <w:sz w:val="28"/>
          <w:szCs w:val="28"/>
        </w:rPr>
      </w:pPr>
    </w:p>
    <w:p w:rsidR="005E3ACF" w:rsidRDefault="005E3ACF" w:rsidP="006E76ED">
      <w:pPr>
        <w:tabs>
          <w:tab w:val="left" w:pos="3915"/>
        </w:tabs>
        <w:rPr>
          <w:b/>
          <w:sz w:val="40"/>
          <w:szCs w:val="40"/>
          <w:lang w:val="hr-BA"/>
        </w:rPr>
      </w:pPr>
    </w:p>
    <w:p w:rsidR="005E3ACF" w:rsidRDefault="005E3ACF" w:rsidP="006E76ED">
      <w:pPr>
        <w:tabs>
          <w:tab w:val="left" w:pos="3915"/>
        </w:tabs>
        <w:rPr>
          <w:b/>
          <w:sz w:val="40"/>
          <w:szCs w:val="40"/>
          <w:lang w:val="hr-BA"/>
        </w:rPr>
      </w:pPr>
    </w:p>
    <w:p w:rsidR="005E3ACF" w:rsidRDefault="005E3ACF" w:rsidP="006E76ED">
      <w:pPr>
        <w:tabs>
          <w:tab w:val="left" w:pos="3915"/>
        </w:tabs>
        <w:rPr>
          <w:b/>
          <w:sz w:val="40"/>
          <w:szCs w:val="40"/>
          <w:lang w:val="hr-BA"/>
        </w:rPr>
      </w:pPr>
    </w:p>
    <w:p w:rsidR="005E3ACF" w:rsidRDefault="005E3ACF" w:rsidP="006E76ED">
      <w:pPr>
        <w:tabs>
          <w:tab w:val="left" w:pos="3915"/>
        </w:tabs>
        <w:rPr>
          <w:b/>
          <w:sz w:val="40"/>
          <w:szCs w:val="40"/>
          <w:lang w:val="hr-BA"/>
        </w:rPr>
      </w:pPr>
    </w:p>
    <w:p w:rsidR="005E3ACF" w:rsidRDefault="005E3ACF" w:rsidP="006E76ED">
      <w:pPr>
        <w:tabs>
          <w:tab w:val="left" w:pos="3915"/>
        </w:tabs>
        <w:rPr>
          <w:b/>
          <w:sz w:val="40"/>
          <w:szCs w:val="40"/>
          <w:lang w:val="hr-BA"/>
        </w:rPr>
      </w:pPr>
    </w:p>
    <w:p w:rsidR="005E3ACF" w:rsidRDefault="005E3ACF" w:rsidP="006E76ED">
      <w:pPr>
        <w:tabs>
          <w:tab w:val="left" w:pos="3915"/>
        </w:tabs>
        <w:rPr>
          <w:b/>
          <w:sz w:val="40"/>
          <w:szCs w:val="40"/>
          <w:lang w:val="hr-BA"/>
        </w:rPr>
      </w:pPr>
    </w:p>
    <w:p w:rsidR="005E3ACF" w:rsidRDefault="005E3ACF" w:rsidP="006E76ED">
      <w:pPr>
        <w:tabs>
          <w:tab w:val="left" w:pos="3915"/>
        </w:tabs>
        <w:rPr>
          <w:b/>
          <w:sz w:val="40"/>
          <w:szCs w:val="40"/>
          <w:lang w:val="hr-BA"/>
        </w:rPr>
      </w:pPr>
    </w:p>
    <w:p w:rsidR="005E3ACF" w:rsidRDefault="005E3ACF" w:rsidP="006E76ED">
      <w:pPr>
        <w:tabs>
          <w:tab w:val="left" w:pos="3915"/>
        </w:tabs>
        <w:rPr>
          <w:b/>
          <w:sz w:val="40"/>
          <w:szCs w:val="40"/>
          <w:lang w:val="hr-BA"/>
        </w:rPr>
      </w:pPr>
    </w:p>
    <w:p w:rsidR="005E3ACF" w:rsidRDefault="005E3ACF" w:rsidP="006E76ED">
      <w:pPr>
        <w:tabs>
          <w:tab w:val="left" w:pos="3915"/>
        </w:tabs>
        <w:rPr>
          <w:b/>
          <w:sz w:val="40"/>
          <w:szCs w:val="40"/>
          <w:lang w:val="hr-BA"/>
        </w:rPr>
      </w:pPr>
    </w:p>
    <w:p w:rsidR="005E3ACF" w:rsidRDefault="005E3ACF" w:rsidP="006E76ED">
      <w:pPr>
        <w:tabs>
          <w:tab w:val="left" w:pos="3915"/>
        </w:tabs>
        <w:rPr>
          <w:b/>
          <w:sz w:val="40"/>
          <w:szCs w:val="40"/>
          <w:lang w:val="hr-BA"/>
        </w:rPr>
      </w:pPr>
    </w:p>
    <w:p w:rsidR="005E3ACF" w:rsidRDefault="005E3ACF" w:rsidP="006E76ED">
      <w:pPr>
        <w:tabs>
          <w:tab w:val="left" w:pos="3915"/>
        </w:tabs>
        <w:rPr>
          <w:b/>
          <w:sz w:val="40"/>
          <w:szCs w:val="40"/>
          <w:lang w:val="hr-BA"/>
        </w:rPr>
      </w:pPr>
    </w:p>
    <w:p w:rsidR="005E3ACF" w:rsidRDefault="005E3ACF" w:rsidP="006E76ED">
      <w:pPr>
        <w:tabs>
          <w:tab w:val="left" w:pos="3915"/>
        </w:tabs>
        <w:rPr>
          <w:b/>
          <w:sz w:val="40"/>
          <w:szCs w:val="40"/>
          <w:lang w:val="hr-BA"/>
        </w:rPr>
      </w:pPr>
    </w:p>
    <w:p w:rsidR="005E3ACF" w:rsidRDefault="005E3ACF" w:rsidP="006E76ED">
      <w:pPr>
        <w:tabs>
          <w:tab w:val="left" w:pos="3915"/>
        </w:tabs>
        <w:rPr>
          <w:b/>
          <w:sz w:val="40"/>
          <w:szCs w:val="40"/>
          <w:lang w:val="hr-BA"/>
        </w:rPr>
      </w:pPr>
    </w:p>
    <w:p w:rsidR="005E3ACF" w:rsidRDefault="005E3ACF" w:rsidP="006E76ED">
      <w:pPr>
        <w:tabs>
          <w:tab w:val="left" w:pos="3915"/>
        </w:tabs>
        <w:rPr>
          <w:b/>
          <w:sz w:val="40"/>
          <w:szCs w:val="40"/>
          <w:lang w:val="hr-BA"/>
        </w:rPr>
      </w:pPr>
    </w:p>
    <w:p w:rsidR="005E3ACF" w:rsidRDefault="005E3ACF" w:rsidP="006E76ED">
      <w:pPr>
        <w:tabs>
          <w:tab w:val="left" w:pos="3915"/>
        </w:tabs>
        <w:rPr>
          <w:b/>
          <w:sz w:val="40"/>
          <w:szCs w:val="40"/>
          <w:lang w:val="hr-BA"/>
        </w:rPr>
      </w:pPr>
    </w:p>
    <w:p w:rsidR="005E3ACF" w:rsidRDefault="005E3ACF" w:rsidP="006E76ED">
      <w:pPr>
        <w:tabs>
          <w:tab w:val="left" w:pos="3915"/>
        </w:tabs>
        <w:rPr>
          <w:b/>
          <w:sz w:val="40"/>
          <w:szCs w:val="40"/>
          <w:lang w:val="hr-BA"/>
        </w:rPr>
        <w:sectPr w:rsidR="005E3ACF" w:rsidSect="000E73DF">
          <w:type w:val="continuous"/>
          <w:pgSz w:w="12240" w:h="15840" w:code="1"/>
          <w:pgMar w:top="709" w:right="1418" w:bottom="1418" w:left="1418" w:header="720" w:footer="720" w:gutter="0"/>
          <w:pgBorders w:offsetFrom="page">
            <w:top w:val="double" w:sz="4" w:space="24" w:color="auto"/>
          </w:pgBorders>
          <w:cols w:space="708"/>
          <w:docGrid w:linePitch="360"/>
        </w:sectPr>
      </w:pPr>
    </w:p>
    <w:tbl>
      <w:tblPr>
        <w:tblW w:w="15409" w:type="dxa"/>
        <w:tblInd w:w="-501" w:type="dxa"/>
        <w:tblLook w:val="04A0"/>
      </w:tblPr>
      <w:tblGrid>
        <w:gridCol w:w="1600"/>
        <w:gridCol w:w="680"/>
        <w:gridCol w:w="663"/>
        <w:gridCol w:w="820"/>
        <w:gridCol w:w="680"/>
        <w:gridCol w:w="720"/>
        <w:gridCol w:w="663"/>
        <w:gridCol w:w="720"/>
        <w:gridCol w:w="700"/>
        <w:gridCol w:w="660"/>
        <w:gridCol w:w="680"/>
        <w:gridCol w:w="660"/>
        <w:gridCol w:w="720"/>
        <w:gridCol w:w="660"/>
        <w:gridCol w:w="720"/>
        <w:gridCol w:w="700"/>
        <w:gridCol w:w="700"/>
        <w:gridCol w:w="660"/>
        <w:gridCol w:w="663"/>
        <w:gridCol w:w="660"/>
        <w:gridCol w:w="680"/>
      </w:tblGrid>
      <w:tr w:rsidR="00D27CB6" w:rsidRPr="00D27CB6" w:rsidTr="008E77B8">
        <w:trPr>
          <w:trHeight w:val="255"/>
        </w:trPr>
        <w:tc>
          <w:tcPr>
            <w:tcW w:w="15409" w:type="dxa"/>
            <w:gridSpan w:val="21"/>
            <w:tcBorders>
              <w:top w:val="single" w:sz="4" w:space="0" w:color="auto"/>
              <w:left w:val="nil"/>
              <w:bottom w:val="nil"/>
              <w:right w:val="nil"/>
            </w:tcBorders>
            <w:shd w:val="clear" w:color="auto" w:fill="auto"/>
            <w:noWrap/>
            <w:vAlign w:val="bottom"/>
            <w:hideMark/>
          </w:tcPr>
          <w:p w:rsidR="00D27CB6" w:rsidRPr="00D27CB6" w:rsidRDefault="00D27CB6" w:rsidP="00D27CB6">
            <w:pPr>
              <w:jc w:val="center"/>
              <w:rPr>
                <w:rFonts w:ascii="Arial" w:hAnsi="Arial" w:cs="Arial"/>
                <w:b/>
                <w:bCs/>
                <w:sz w:val="16"/>
                <w:szCs w:val="16"/>
                <w:lang w:val="hr-HR" w:eastAsia="hr-HR"/>
              </w:rPr>
            </w:pPr>
            <w:r w:rsidRPr="00D27CB6">
              <w:rPr>
                <w:rFonts w:ascii="Arial" w:hAnsi="Arial" w:cs="Arial"/>
                <w:b/>
                <w:bCs/>
                <w:sz w:val="16"/>
                <w:szCs w:val="16"/>
                <w:lang w:val="hr-HR" w:eastAsia="hr-HR"/>
              </w:rPr>
              <w:lastRenderedPageBreak/>
              <w:t>DODATAK A: KONSOLIDOVANA TABELA PRIHODA procjena budžeta po ekonomskoj klasifikaciji za period 2020-2022. U mil. KM (Kanton -općine-VBF)</w:t>
            </w:r>
          </w:p>
        </w:tc>
      </w:tr>
      <w:tr w:rsidR="00D27CB6" w:rsidRPr="00D27CB6" w:rsidTr="008E77B8">
        <w:trPr>
          <w:trHeight w:val="270"/>
        </w:trPr>
        <w:tc>
          <w:tcPr>
            <w:tcW w:w="1600" w:type="dxa"/>
            <w:tcBorders>
              <w:top w:val="nil"/>
              <w:left w:val="nil"/>
              <w:bottom w:val="nil"/>
              <w:right w:val="nil"/>
            </w:tcBorders>
            <w:shd w:val="clear" w:color="auto" w:fill="auto"/>
            <w:noWrap/>
            <w:vAlign w:val="bottom"/>
            <w:hideMark/>
          </w:tcPr>
          <w:p w:rsidR="00D27CB6" w:rsidRPr="00D27CB6" w:rsidRDefault="00D27CB6" w:rsidP="00D27CB6">
            <w:pPr>
              <w:jc w:val="center"/>
              <w:rPr>
                <w:rFonts w:ascii="Arial" w:hAnsi="Arial" w:cs="Arial"/>
                <w:b/>
                <w:bCs/>
                <w:sz w:val="16"/>
                <w:szCs w:val="16"/>
                <w:lang w:val="hr-HR" w:eastAsia="hr-HR"/>
              </w:rPr>
            </w:pPr>
          </w:p>
        </w:tc>
        <w:tc>
          <w:tcPr>
            <w:tcW w:w="680"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663"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820"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680"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720"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663"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720"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700"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660"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680"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660"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720"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660"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720"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700"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700"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660"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663"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660"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c>
          <w:tcPr>
            <w:tcW w:w="680" w:type="dxa"/>
            <w:tcBorders>
              <w:top w:val="nil"/>
              <w:left w:val="nil"/>
              <w:bottom w:val="nil"/>
              <w:right w:val="nil"/>
            </w:tcBorders>
            <w:shd w:val="clear" w:color="auto" w:fill="auto"/>
            <w:noWrap/>
            <w:vAlign w:val="bottom"/>
            <w:hideMark/>
          </w:tcPr>
          <w:p w:rsidR="00D27CB6" w:rsidRPr="00D27CB6" w:rsidRDefault="00D27CB6" w:rsidP="00D27CB6">
            <w:pPr>
              <w:rPr>
                <w:sz w:val="20"/>
                <w:lang w:val="hr-HR" w:eastAsia="hr-HR"/>
              </w:rPr>
            </w:pPr>
          </w:p>
        </w:tc>
      </w:tr>
      <w:tr w:rsidR="00D27CB6" w:rsidRPr="00D27CB6" w:rsidTr="008E77B8">
        <w:trPr>
          <w:trHeight w:val="255"/>
        </w:trPr>
        <w:tc>
          <w:tcPr>
            <w:tcW w:w="1600" w:type="dxa"/>
            <w:vMerge w:val="restart"/>
            <w:tcBorders>
              <w:top w:val="single" w:sz="8" w:space="0" w:color="auto"/>
              <w:left w:val="single" w:sz="4" w:space="0" w:color="auto"/>
              <w:bottom w:val="single" w:sz="4" w:space="0" w:color="000000"/>
              <w:right w:val="single" w:sz="4" w:space="0" w:color="auto"/>
            </w:tcBorders>
            <w:shd w:val="clear" w:color="000000" w:fill="808080"/>
            <w:hideMark/>
          </w:tcPr>
          <w:p w:rsidR="00D27CB6" w:rsidRPr="00D27CB6" w:rsidRDefault="00D27CB6" w:rsidP="00D27CB6">
            <w:pPr>
              <w:rPr>
                <w:sz w:val="12"/>
                <w:szCs w:val="12"/>
                <w:lang w:val="hr-HR" w:eastAsia="hr-HR"/>
              </w:rPr>
            </w:pPr>
            <w:r w:rsidRPr="00D27CB6">
              <w:rPr>
                <w:sz w:val="12"/>
                <w:szCs w:val="12"/>
                <w:lang w:val="hr-HR" w:eastAsia="hr-HR"/>
              </w:rPr>
              <w:t> </w:t>
            </w:r>
          </w:p>
        </w:tc>
        <w:tc>
          <w:tcPr>
            <w:tcW w:w="2843" w:type="dxa"/>
            <w:gridSpan w:val="4"/>
            <w:vMerge w:val="restart"/>
            <w:tcBorders>
              <w:top w:val="single" w:sz="4" w:space="0" w:color="auto"/>
              <w:left w:val="single" w:sz="4" w:space="0" w:color="auto"/>
              <w:bottom w:val="single" w:sz="4" w:space="0" w:color="000000"/>
              <w:right w:val="single" w:sz="4" w:space="0" w:color="000000"/>
            </w:tcBorders>
            <w:shd w:val="clear" w:color="000000" w:fill="808080"/>
            <w:vAlign w:val="bottom"/>
            <w:hideMark/>
          </w:tcPr>
          <w:p w:rsidR="00D27CB6" w:rsidRPr="00D27CB6" w:rsidRDefault="00D27CB6" w:rsidP="00D27CB6">
            <w:pPr>
              <w:jc w:val="cente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Ostvareno 201</w:t>
            </w:r>
            <w:r w:rsidR="009A4D67">
              <w:rPr>
                <w:rFonts w:ascii="Arial" w:hAnsi="Arial" w:cs="Arial"/>
                <w:b/>
                <w:bCs/>
                <w:color w:val="FFFFFF"/>
                <w:sz w:val="12"/>
                <w:szCs w:val="12"/>
                <w:lang w:val="hr-HR" w:eastAsia="hr-HR"/>
              </w:rPr>
              <w:t>9</w:t>
            </w:r>
            <w:r w:rsidRPr="00D27CB6">
              <w:rPr>
                <w:rFonts w:ascii="Arial" w:hAnsi="Arial" w:cs="Arial"/>
                <w:b/>
                <w:bCs/>
                <w:color w:val="FFFFFF"/>
                <w:sz w:val="12"/>
                <w:szCs w:val="12"/>
                <w:lang w:val="hr-HR" w:eastAsia="hr-HR"/>
              </w:rPr>
              <w:t>.</w:t>
            </w:r>
          </w:p>
        </w:tc>
        <w:tc>
          <w:tcPr>
            <w:tcW w:w="2803" w:type="dxa"/>
            <w:gridSpan w:val="4"/>
            <w:vMerge w:val="restart"/>
            <w:tcBorders>
              <w:top w:val="single" w:sz="4" w:space="0" w:color="auto"/>
              <w:left w:val="single" w:sz="4" w:space="0" w:color="auto"/>
              <w:bottom w:val="single" w:sz="4" w:space="0" w:color="000000"/>
              <w:right w:val="single" w:sz="4" w:space="0" w:color="000000"/>
            </w:tcBorders>
            <w:shd w:val="clear" w:color="000000" w:fill="808080"/>
            <w:vAlign w:val="bottom"/>
            <w:hideMark/>
          </w:tcPr>
          <w:p w:rsidR="00D27CB6" w:rsidRPr="00D27CB6" w:rsidRDefault="00D27CB6" w:rsidP="00D27CB6">
            <w:pPr>
              <w:jc w:val="cente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Plan 20</w:t>
            </w:r>
            <w:r w:rsidR="009A4D67">
              <w:rPr>
                <w:rFonts w:ascii="Arial" w:hAnsi="Arial" w:cs="Arial"/>
                <w:b/>
                <w:bCs/>
                <w:color w:val="FFFFFF"/>
                <w:sz w:val="12"/>
                <w:szCs w:val="12"/>
                <w:lang w:val="hr-HR" w:eastAsia="hr-HR"/>
              </w:rPr>
              <w:t>20</w:t>
            </w:r>
            <w:r w:rsidRPr="00D27CB6">
              <w:rPr>
                <w:rFonts w:ascii="Arial" w:hAnsi="Arial" w:cs="Arial"/>
                <w:b/>
                <w:bCs/>
                <w:color w:val="FFFFFF"/>
                <w:sz w:val="12"/>
                <w:szCs w:val="12"/>
                <w:lang w:val="hr-HR" w:eastAsia="hr-HR"/>
              </w:rPr>
              <w:t>.</w:t>
            </w:r>
          </w:p>
        </w:tc>
        <w:tc>
          <w:tcPr>
            <w:tcW w:w="8163" w:type="dxa"/>
            <w:gridSpan w:val="12"/>
            <w:tcBorders>
              <w:top w:val="single" w:sz="4" w:space="0" w:color="auto"/>
              <w:left w:val="nil"/>
              <w:bottom w:val="nil"/>
              <w:right w:val="single" w:sz="4" w:space="0" w:color="000000"/>
            </w:tcBorders>
            <w:shd w:val="clear" w:color="000000" w:fill="808080"/>
            <w:hideMark/>
          </w:tcPr>
          <w:p w:rsidR="00D27CB6" w:rsidRPr="00D27CB6" w:rsidRDefault="00D27CB6" w:rsidP="00D27CB6">
            <w:pPr>
              <w:jc w:val="cente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Projekcije</w:t>
            </w:r>
          </w:p>
        </w:tc>
      </w:tr>
      <w:tr w:rsidR="00D27CB6" w:rsidRPr="00D27CB6" w:rsidTr="008E77B8">
        <w:trPr>
          <w:trHeight w:val="255"/>
        </w:trPr>
        <w:tc>
          <w:tcPr>
            <w:tcW w:w="1600" w:type="dxa"/>
            <w:vMerge/>
            <w:tcBorders>
              <w:top w:val="single" w:sz="8" w:space="0" w:color="auto"/>
              <w:left w:val="single" w:sz="4" w:space="0" w:color="auto"/>
              <w:bottom w:val="single" w:sz="4" w:space="0" w:color="000000"/>
              <w:right w:val="single" w:sz="4" w:space="0" w:color="auto"/>
            </w:tcBorders>
            <w:vAlign w:val="center"/>
            <w:hideMark/>
          </w:tcPr>
          <w:p w:rsidR="00D27CB6" w:rsidRPr="00D27CB6" w:rsidRDefault="00D27CB6" w:rsidP="00D27CB6">
            <w:pPr>
              <w:rPr>
                <w:sz w:val="12"/>
                <w:szCs w:val="12"/>
                <w:lang w:val="hr-HR" w:eastAsia="hr-HR"/>
              </w:rPr>
            </w:pPr>
          </w:p>
        </w:tc>
        <w:tc>
          <w:tcPr>
            <w:tcW w:w="2843" w:type="dxa"/>
            <w:gridSpan w:val="4"/>
            <w:vMerge/>
            <w:tcBorders>
              <w:top w:val="single" w:sz="4" w:space="0" w:color="auto"/>
              <w:left w:val="single" w:sz="4" w:space="0" w:color="auto"/>
              <w:bottom w:val="single" w:sz="4" w:space="0" w:color="000000"/>
              <w:right w:val="single" w:sz="4" w:space="0" w:color="000000"/>
            </w:tcBorders>
            <w:vAlign w:val="center"/>
            <w:hideMark/>
          </w:tcPr>
          <w:p w:rsidR="00D27CB6" w:rsidRPr="00D27CB6" w:rsidRDefault="00D27CB6" w:rsidP="00D27CB6">
            <w:pPr>
              <w:rPr>
                <w:rFonts w:ascii="Arial" w:hAnsi="Arial" w:cs="Arial"/>
                <w:b/>
                <w:bCs/>
                <w:color w:val="FFFFFF"/>
                <w:sz w:val="12"/>
                <w:szCs w:val="12"/>
                <w:lang w:val="hr-HR" w:eastAsia="hr-HR"/>
              </w:rPr>
            </w:pPr>
          </w:p>
        </w:tc>
        <w:tc>
          <w:tcPr>
            <w:tcW w:w="2803" w:type="dxa"/>
            <w:gridSpan w:val="4"/>
            <w:vMerge/>
            <w:tcBorders>
              <w:top w:val="single" w:sz="4" w:space="0" w:color="auto"/>
              <w:left w:val="single" w:sz="4" w:space="0" w:color="auto"/>
              <w:bottom w:val="single" w:sz="4" w:space="0" w:color="000000"/>
              <w:right w:val="single" w:sz="4" w:space="0" w:color="000000"/>
            </w:tcBorders>
            <w:vAlign w:val="center"/>
            <w:hideMark/>
          </w:tcPr>
          <w:p w:rsidR="00D27CB6" w:rsidRPr="00D27CB6" w:rsidRDefault="00D27CB6" w:rsidP="00D27CB6">
            <w:pPr>
              <w:rPr>
                <w:rFonts w:ascii="Arial" w:hAnsi="Arial" w:cs="Arial"/>
                <w:b/>
                <w:bCs/>
                <w:color w:val="FFFFFF"/>
                <w:sz w:val="12"/>
                <w:szCs w:val="12"/>
                <w:lang w:val="hr-HR" w:eastAsia="hr-HR"/>
              </w:rPr>
            </w:pPr>
          </w:p>
        </w:tc>
        <w:tc>
          <w:tcPr>
            <w:tcW w:w="2720" w:type="dxa"/>
            <w:gridSpan w:val="4"/>
            <w:tcBorders>
              <w:top w:val="nil"/>
              <w:left w:val="nil"/>
              <w:bottom w:val="single" w:sz="4" w:space="0" w:color="auto"/>
              <w:right w:val="single" w:sz="4" w:space="0" w:color="000000"/>
            </w:tcBorders>
            <w:shd w:val="clear" w:color="000000" w:fill="808080"/>
            <w:vAlign w:val="bottom"/>
            <w:hideMark/>
          </w:tcPr>
          <w:p w:rsidR="00D27CB6" w:rsidRPr="00D27CB6" w:rsidRDefault="009A4D67" w:rsidP="00D27CB6">
            <w:pPr>
              <w:jc w:val="center"/>
              <w:rPr>
                <w:rFonts w:ascii="Arial" w:hAnsi="Arial" w:cs="Arial"/>
                <w:b/>
                <w:bCs/>
                <w:color w:val="FFFFFF"/>
                <w:sz w:val="12"/>
                <w:szCs w:val="12"/>
                <w:lang w:val="hr-HR" w:eastAsia="hr-HR"/>
              </w:rPr>
            </w:pPr>
            <w:r>
              <w:rPr>
                <w:rFonts w:ascii="Arial" w:hAnsi="Arial" w:cs="Arial"/>
                <w:b/>
                <w:bCs/>
                <w:color w:val="FFFFFF"/>
                <w:sz w:val="12"/>
                <w:szCs w:val="12"/>
                <w:lang w:val="hr-HR" w:eastAsia="hr-HR"/>
              </w:rPr>
              <w:t>2021</w:t>
            </w:r>
          </w:p>
        </w:tc>
        <w:tc>
          <w:tcPr>
            <w:tcW w:w="2780" w:type="dxa"/>
            <w:gridSpan w:val="4"/>
            <w:tcBorders>
              <w:top w:val="nil"/>
              <w:left w:val="nil"/>
              <w:bottom w:val="single" w:sz="4" w:space="0" w:color="auto"/>
              <w:right w:val="single" w:sz="4" w:space="0" w:color="000000"/>
            </w:tcBorders>
            <w:shd w:val="clear" w:color="000000" w:fill="808080"/>
            <w:vAlign w:val="bottom"/>
            <w:hideMark/>
          </w:tcPr>
          <w:p w:rsidR="00D27CB6" w:rsidRPr="00D27CB6" w:rsidRDefault="00D27CB6" w:rsidP="00D27CB6">
            <w:pPr>
              <w:jc w:val="cente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202</w:t>
            </w:r>
            <w:r w:rsidR="009A4D67">
              <w:rPr>
                <w:rFonts w:ascii="Arial" w:hAnsi="Arial" w:cs="Arial"/>
                <w:b/>
                <w:bCs/>
                <w:color w:val="FFFFFF"/>
                <w:sz w:val="12"/>
                <w:szCs w:val="12"/>
                <w:lang w:val="hr-HR" w:eastAsia="hr-HR"/>
              </w:rPr>
              <w:t>2</w:t>
            </w:r>
            <w:r w:rsidRPr="00D27CB6">
              <w:rPr>
                <w:rFonts w:ascii="Arial" w:hAnsi="Arial" w:cs="Arial"/>
                <w:b/>
                <w:bCs/>
                <w:color w:val="FFFFFF"/>
                <w:sz w:val="12"/>
                <w:szCs w:val="12"/>
                <w:lang w:val="hr-HR" w:eastAsia="hr-HR"/>
              </w:rPr>
              <w:t>.</w:t>
            </w:r>
          </w:p>
        </w:tc>
        <w:tc>
          <w:tcPr>
            <w:tcW w:w="2663" w:type="dxa"/>
            <w:gridSpan w:val="4"/>
            <w:tcBorders>
              <w:top w:val="nil"/>
              <w:left w:val="nil"/>
              <w:bottom w:val="single" w:sz="4" w:space="0" w:color="auto"/>
              <w:right w:val="single" w:sz="4" w:space="0" w:color="000000"/>
            </w:tcBorders>
            <w:shd w:val="clear" w:color="000000" w:fill="808080"/>
            <w:vAlign w:val="bottom"/>
            <w:hideMark/>
          </w:tcPr>
          <w:p w:rsidR="00D27CB6" w:rsidRPr="00D27CB6" w:rsidRDefault="00D27CB6" w:rsidP="00D27CB6">
            <w:pPr>
              <w:jc w:val="cente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202</w:t>
            </w:r>
            <w:r w:rsidR="009A4D67">
              <w:rPr>
                <w:rFonts w:ascii="Arial" w:hAnsi="Arial" w:cs="Arial"/>
                <w:b/>
                <w:bCs/>
                <w:color w:val="FFFFFF"/>
                <w:sz w:val="12"/>
                <w:szCs w:val="12"/>
                <w:lang w:val="hr-HR" w:eastAsia="hr-HR"/>
              </w:rPr>
              <w:t>3</w:t>
            </w:r>
            <w:r w:rsidRPr="00D27CB6">
              <w:rPr>
                <w:rFonts w:ascii="Arial" w:hAnsi="Arial" w:cs="Arial"/>
                <w:b/>
                <w:bCs/>
                <w:color w:val="FFFFFF"/>
                <w:sz w:val="12"/>
                <w:szCs w:val="12"/>
                <w:lang w:val="hr-HR" w:eastAsia="hr-HR"/>
              </w:rPr>
              <w:t>.</w:t>
            </w:r>
          </w:p>
        </w:tc>
      </w:tr>
      <w:tr w:rsidR="00D27CB6" w:rsidRPr="00D27CB6" w:rsidTr="008E77B8">
        <w:trPr>
          <w:trHeight w:val="255"/>
        </w:trPr>
        <w:tc>
          <w:tcPr>
            <w:tcW w:w="1600" w:type="dxa"/>
            <w:vMerge/>
            <w:tcBorders>
              <w:top w:val="single" w:sz="8" w:space="0" w:color="auto"/>
              <w:left w:val="single" w:sz="4" w:space="0" w:color="auto"/>
              <w:bottom w:val="single" w:sz="4" w:space="0" w:color="000000"/>
              <w:right w:val="single" w:sz="4" w:space="0" w:color="auto"/>
            </w:tcBorders>
            <w:vAlign w:val="center"/>
            <w:hideMark/>
          </w:tcPr>
          <w:p w:rsidR="00D27CB6" w:rsidRPr="00D27CB6" w:rsidRDefault="00D27CB6" w:rsidP="00D27CB6">
            <w:pPr>
              <w:rPr>
                <w:sz w:val="12"/>
                <w:szCs w:val="12"/>
                <w:lang w:val="hr-HR" w:eastAsia="hr-HR"/>
              </w:rPr>
            </w:pPr>
          </w:p>
        </w:tc>
        <w:tc>
          <w:tcPr>
            <w:tcW w:w="680" w:type="dxa"/>
            <w:tcBorders>
              <w:top w:val="nil"/>
              <w:left w:val="nil"/>
              <w:bottom w:val="single" w:sz="4" w:space="0" w:color="auto"/>
              <w:right w:val="dotted"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Kanton</w:t>
            </w:r>
          </w:p>
        </w:tc>
        <w:tc>
          <w:tcPr>
            <w:tcW w:w="663" w:type="dxa"/>
            <w:tcBorders>
              <w:top w:val="nil"/>
              <w:left w:val="nil"/>
              <w:bottom w:val="single" w:sz="4" w:space="0" w:color="auto"/>
              <w:right w:val="dotted"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Opštine</w:t>
            </w:r>
          </w:p>
        </w:tc>
        <w:tc>
          <w:tcPr>
            <w:tcW w:w="820" w:type="dxa"/>
            <w:tcBorders>
              <w:top w:val="nil"/>
              <w:left w:val="nil"/>
              <w:bottom w:val="single" w:sz="4" w:space="0" w:color="auto"/>
              <w:right w:val="dotted"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VBF</w:t>
            </w:r>
          </w:p>
        </w:tc>
        <w:tc>
          <w:tcPr>
            <w:tcW w:w="680" w:type="dxa"/>
            <w:tcBorders>
              <w:top w:val="nil"/>
              <w:left w:val="nil"/>
              <w:bottom w:val="single" w:sz="4" w:space="0" w:color="auto"/>
              <w:right w:val="single"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Ukupno</w:t>
            </w:r>
          </w:p>
        </w:tc>
        <w:tc>
          <w:tcPr>
            <w:tcW w:w="720" w:type="dxa"/>
            <w:tcBorders>
              <w:top w:val="nil"/>
              <w:left w:val="nil"/>
              <w:bottom w:val="single" w:sz="4" w:space="0" w:color="auto"/>
              <w:right w:val="dotted"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Kanton</w:t>
            </w:r>
          </w:p>
        </w:tc>
        <w:tc>
          <w:tcPr>
            <w:tcW w:w="663" w:type="dxa"/>
            <w:tcBorders>
              <w:top w:val="nil"/>
              <w:left w:val="nil"/>
              <w:bottom w:val="single" w:sz="4" w:space="0" w:color="auto"/>
              <w:right w:val="dotted"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Opštine</w:t>
            </w:r>
          </w:p>
        </w:tc>
        <w:tc>
          <w:tcPr>
            <w:tcW w:w="720" w:type="dxa"/>
            <w:tcBorders>
              <w:top w:val="nil"/>
              <w:left w:val="nil"/>
              <w:bottom w:val="single" w:sz="4" w:space="0" w:color="auto"/>
              <w:right w:val="dotted"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VBF</w:t>
            </w:r>
          </w:p>
        </w:tc>
        <w:tc>
          <w:tcPr>
            <w:tcW w:w="700" w:type="dxa"/>
            <w:tcBorders>
              <w:top w:val="nil"/>
              <w:left w:val="nil"/>
              <w:bottom w:val="single" w:sz="4" w:space="0" w:color="auto"/>
              <w:right w:val="single"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Ukupno</w:t>
            </w:r>
          </w:p>
        </w:tc>
        <w:tc>
          <w:tcPr>
            <w:tcW w:w="660" w:type="dxa"/>
            <w:tcBorders>
              <w:top w:val="nil"/>
              <w:left w:val="nil"/>
              <w:bottom w:val="single" w:sz="4" w:space="0" w:color="auto"/>
              <w:right w:val="dotted"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Kanton</w:t>
            </w:r>
          </w:p>
        </w:tc>
        <w:tc>
          <w:tcPr>
            <w:tcW w:w="680" w:type="dxa"/>
            <w:tcBorders>
              <w:top w:val="nil"/>
              <w:left w:val="nil"/>
              <w:bottom w:val="single" w:sz="4" w:space="0" w:color="auto"/>
              <w:right w:val="dotted"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Opštine</w:t>
            </w:r>
          </w:p>
        </w:tc>
        <w:tc>
          <w:tcPr>
            <w:tcW w:w="660" w:type="dxa"/>
            <w:tcBorders>
              <w:top w:val="nil"/>
              <w:left w:val="nil"/>
              <w:bottom w:val="single" w:sz="4" w:space="0" w:color="auto"/>
              <w:right w:val="dotted"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VBF</w:t>
            </w:r>
          </w:p>
        </w:tc>
        <w:tc>
          <w:tcPr>
            <w:tcW w:w="720" w:type="dxa"/>
            <w:tcBorders>
              <w:top w:val="nil"/>
              <w:left w:val="nil"/>
              <w:bottom w:val="single" w:sz="4" w:space="0" w:color="auto"/>
              <w:right w:val="single"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Ukupno</w:t>
            </w:r>
          </w:p>
        </w:tc>
        <w:tc>
          <w:tcPr>
            <w:tcW w:w="660" w:type="dxa"/>
            <w:tcBorders>
              <w:top w:val="nil"/>
              <w:left w:val="nil"/>
              <w:bottom w:val="single" w:sz="4" w:space="0" w:color="auto"/>
              <w:right w:val="dotted"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Kanton</w:t>
            </w:r>
          </w:p>
        </w:tc>
        <w:tc>
          <w:tcPr>
            <w:tcW w:w="720" w:type="dxa"/>
            <w:tcBorders>
              <w:top w:val="nil"/>
              <w:left w:val="nil"/>
              <w:bottom w:val="single" w:sz="4" w:space="0" w:color="auto"/>
              <w:right w:val="dotted"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Opštine</w:t>
            </w:r>
          </w:p>
        </w:tc>
        <w:tc>
          <w:tcPr>
            <w:tcW w:w="700" w:type="dxa"/>
            <w:tcBorders>
              <w:top w:val="nil"/>
              <w:left w:val="nil"/>
              <w:bottom w:val="single" w:sz="4" w:space="0" w:color="auto"/>
              <w:right w:val="dotted"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VBF</w:t>
            </w:r>
          </w:p>
        </w:tc>
        <w:tc>
          <w:tcPr>
            <w:tcW w:w="700" w:type="dxa"/>
            <w:tcBorders>
              <w:top w:val="nil"/>
              <w:left w:val="nil"/>
              <w:bottom w:val="single" w:sz="4" w:space="0" w:color="auto"/>
              <w:right w:val="single"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Ukupno</w:t>
            </w:r>
          </w:p>
        </w:tc>
        <w:tc>
          <w:tcPr>
            <w:tcW w:w="660" w:type="dxa"/>
            <w:tcBorders>
              <w:top w:val="nil"/>
              <w:left w:val="nil"/>
              <w:bottom w:val="single" w:sz="4" w:space="0" w:color="auto"/>
              <w:right w:val="dotted"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Kanton</w:t>
            </w:r>
          </w:p>
        </w:tc>
        <w:tc>
          <w:tcPr>
            <w:tcW w:w="663" w:type="dxa"/>
            <w:tcBorders>
              <w:top w:val="nil"/>
              <w:left w:val="nil"/>
              <w:bottom w:val="single" w:sz="4" w:space="0" w:color="auto"/>
              <w:right w:val="dotted"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Opštine</w:t>
            </w:r>
          </w:p>
        </w:tc>
        <w:tc>
          <w:tcPr>
            <w:tcW w:w="660" w:type="dxa"/>
            <w:tcBorders>
              <w:top w:val="nil"/>
              <w:left w:val="nil"/>
              <w:bottom w:val="single" w:sz="4" w:space="0" w:color="auto"/>
              <w:right w:val="dotted"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VBF</w:t>
            </w:r>
          </w:p>
        </w:tc>
        <w:tc>
          <w:tcPr>
            <w:tcW w:w="680" w:type="dxa"/>
            <w:tcBorders>
              <w:top w:val="nil"/>
              <w:left w:val="nil"/>
              <w:bottom w:val="single" w:sz="4" w:space="0" w:color="auto"/>
              <w:right w:val="single" w:sz="4" w:space="0" w:color="auto"/>
            </w:tcBorders>
            <w:shd w:val="clear" w:color="000000" w:fill="808080"/>
            <w:hideMark/>
          </w:tcPr>
          <w:p w:rsidR="00D27CB6" w:rsidRPr="00D27CB6" w:rsidRDefault="00D27CB6" w:rsidP="00D27CB6">
            <w:pPr>
              <w:rPr>
                <w:rFonts w:ascii="Arial" w:hAnsi="Arial" w:cs="Arial"/>
                <w:b/>
                <w:bCs/>
                <w:color w:val="FFFFFF"/>
                <w:sz w:val="12"/>
                <w:szCs w:val="12"/>
                <w:lang w:val="hr-HR" w:eastAsia="hr-HR"/>
              </w:rPr>
            </w:pPr>
            <w:r w:rsidRPr="00D27CB6">
              <w:rPr>
                <w:rFonts w:ascii="Arial" w:hAnsi="Arial" w:cs="Arial"/>
                <w:b/>
                <w:bCs/>
                <w:color w:val="FFFFFF"/>
                <w:sz w:val="12"/>
                <w:szCs w:val="12"/>
                <w:lang w:val="hr-HR" w:eastAsia="hr-HR"/>
              </w:rPr>
              <w:t>Ukupno</w:t>
            </w:r>
          </w:p>
        </w:tc>
      </w:tr>
      <w:tr w:rsidR="009A4D67" w:rsidRPr="00D27CB6" w:rsidTr="008E77B8">
        <w:trPr>
          <w:trHeight w:val="25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9A4D67" w:rsidRPr="00D27CB6" w:rsidRDefault="009A4D67" w:rsidP="009A4D67">
            <w:pPr>
              <w:ind w:firstLineChars="100" w:firstLine="120"/>
              <w:rPr>
                <w:rFonts w:ascii="Arial" w:hAnsi="Arial" w:cs="Arial"/>
                <w:b/>
                <w:bCs/>
                <w:i/>
                <w:iCs/>
                <w:sz w:val="12"/>
                <w:szCs w:val="12"/>
                <w:lang w:val="hr-HR" w:eastAsia="hr-HR"/>
              </w:rPr>
            </w:pPr>
            <w:r w:rsidRPr="00D27CB6">
              <w:rPr>
                <w:rFonts w:ascii="Arial" w:hAnsi="Arial" w:cs="Arial"/>
                <w:b/>
                <w:bCs/>
                <w:i/>
                <w:iCs/>
                <w:sz w:val="12"/>
                <w:szCs w:val="12"/>
                <w:lang w:val="hr-HR" w:eastAsia="hr-HR"/>
              </w:rPr>
              <w:t>I  Porezni  prihodi</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186,369</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49,321</w:t>
            </w:r>
          </w:p>
        </w:tc>
        <w:tc>
          <w:tcPr>
            <w:tcW w:w="8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121,145</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356,835</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184,688</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51,328</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117,532</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353,548</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164,550</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44,242</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101,809</w:t>
            </w:r>
          </w:p>
        </w:tc>
        <w:tc>
          <w:tcPr>
            <w:tcW w:w="72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310,601</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173,431</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46,416</w:t>
            </w:r>
          </w:p>
        </w:tc>
        <w:tc>
          <w:tcPr>
            <w:tcW w:w="70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104,339</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324,186</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176,036</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47,442</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106,748</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330,226</w:t>
            </w:r>
          </w:p>
        </w:tc>
      </w:tr>
      <w:tr w:rsidR="009A4D67" w:rsidRPr="00D27CB6" w:rsidTr="008E77B8">
        <w:trPr>
          <w:trHeight w:val="420"/>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9A4D67" w:rsidRPr="00D27CB6" w:rsidRDefault="009A4D67" w:rsidP="009A4D67">
            <w:pPr>
              <w:ind w:firstLineChars="100" w:firstLine="120"/>
              <w:rPr>
                <w:rFonts w:ascii="Arial" w:hAnsi="Arial" w:cs="Arial"/>
                <w:sz w:val="12"/>
                <w:szCs w:val="12"/>
                <w:lang w:val="hr-HR" w:eastAsia="hr-HR"/>
              </w:rPr>
            </w:pPr>
            <w:r w:rsidRPr="00D27CB6">
              <w:rPr>
                <w:rFonts w:ascii="Arial" w:hAnsi="Arial" w:cs="Arial"/>
                <w:sz w:val="12"/>
                <w:szCs w:val="12"/>
                <w:lang w:val="hr-HR" w:eastAsia="hr-HR"/>
              </w:rPr>
              <w:t>Prihodi sa računa U/O</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155,570</w:t>
            </w:r>
          </w:p>
        </w:tc>
        <w:tc>
          <w:tcPr>
            <w:tcW w:w="663" w:type="dxa"/>
            <w:tcBorders>
              <w:top w:val="nil"/>
              <w:left w:val="nil"/>
              <w:bottom w:val="single" w:sz="4" w:space="0" w:color="auto"/>
              <w:right w:val="dotted" w:sz="4" w:space="0" w:color="auto"/>
            </w:tcBorders>
            <w:shd w:val="clear" w:color="auto" w:fill="auto"/>
            <w:noWrap/>
            <w:hideMark/>
          </w:tcPr>
          <w:p w:rsidR="009A4D67" w:rsidRPr="009A4D67" w:rsidRDefault="009A4D67" w:rsidP="009A4D67">
            <w:pPr>
              <w:jc w:val="right"/>
              <w:rPr>
                <w:sz w:val="12"/>
                <w:szCs w:val="12"/>
                <w:lang w:val="hr-HR" w:eastAsia="hr-HR"/>
              </w:rPr>
            </w:pPr>
            <w:r w:rsidRPr="009A4D67">
              <w:rPr>
                <w:sz w:val="12"/>
                <w:szCs w:val="12"/>
              </w:rPr>
              <w:t>32,539</w:t>
            </w:r>
          </w:p>
        </w:tc>
        <w:tc>
          <w:tcPr>
            <w:tcW w:w="8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14,715</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202,824</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153,276</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33,959</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14,565</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202</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136,390</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28,496</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14,017</w:t>
            </w:r>
          </w:p>
        </w:tc>
        <w:tc>
          <w:tcPr>
            <w:tcW w:w="72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178,903</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144,315</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30,115</w:t>
            </w:r>
          </w:p>
        </w:tc>
        <w:tc>
          <w:tcPr>
            <w:tcW w:w="70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14,559</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188,989</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146,088</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30,552</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14,668</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191,308</w:t>
            </w:r>
          </w:p>
        </w:tc>
      </w:tr>
      <w:tr w:rsidR="009A4D67" w:rsidRPr="00D27CB6" w:rsidTr="008E77B8">
        <w:trPr>
          <w:trHeight w:val="25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9A4D67" w:rsidRPr="00D27CB6" w:rsidRDefault="009A4D67" w:rsidP="009A4D67">
            <w:pPr>
              <w:ind w:firstLineChars="100" w:firstLine="120"/>
              <w:rPr>
                <w:rFonts w:ascii="Arial" w:hAnsi="Arial" w:cs="Arial"/>
                <w:sz w:val="12"/>
                <w:szCs w:val="12"/>
                <w:lang w:val="hr-HR" w:eastAsia="hr-HR"/>
              </w:rPr>
            </w:pPr>
            <w:r w:rsidRPr="00D27CB6">
              <w:rPr>
                <w:rFonts w:ascii="Arial" w:hAnsi="Arial" w:cs="Arial"/>
                <w:sz w:val="12"/>
                <w:szCs w:val="12"/>
                <w:lang w:val="hr-HR" w:eastAsia="hr-HR"/>
              </w:rPr>
              <w:t>Porez na dobit</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12,479</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0,032</w:t>
            </w:r>
          </w:p>
        </w:tc>
        <w:tc>
          <w:tcPr>
            <w:tcW w:w="8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12,511</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13,003</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0,038</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13,041</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11,855</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0,012</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72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11,867</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12,210</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0,011</w:t>
            </w:r>
          </w:p>
        </w:tc>
        <w:tc>
          <w:tcPr>
            <w:tcW w:w="70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12,221</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12,672</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0,011</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12,683</w:t>
            </w:r>
          </w:p>
        </w:tc>
      </w:tr>
      <w:tr w:rsidR="009A4D67" w:rsidRPr="00D27CB6" w:rsidTr="008E77B8">
        <w:trPr>
          <w:trHeight w:val="25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9A4D67" w:rsidRPr="00D27CB6" w:rsidRDefault="009A4D67" w:rsidP="009A4D67">
            <w:pPr>
              <w:ind w:firstLineChars="100" w:firstLine="120"/>
              <w:rPr>
                <w:rFonts w:ascii="Arial" w:hAnsi="Arial" w:cs="Arial"/>
                <w:sz w:val="12"/>
                <w:szCs w:val="12"/>
                <w:lang w:val="hr-HR" w:eastAsia="hr-HR"/>
              </w:rPr>
            </w:pPr>
            <w:r w:rsidRPr="00D27CB6">
              <w:rPr>
                <w:rFonts w:ascii="Arial" w:hAnsi="Arial" w:cs="Arial"/>
                <w:sz w:val="12"/>
                <w:szCs w:val="12"/>
                <w:lang w:val="hr-HR" w:eastAsia="hr-HR"/>
              </w:rPr>
              <w:t>Porez na dohodak</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18,320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9,575</w:t>
            </w:r>
          </w:p>
        </w:tc>
        <w:tc>
          <w:tcPr>
            <w:tcW w:w="8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27,895</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18,409</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9,728</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28,137</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16,305</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8,813</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72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25,118</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16,906</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9,211</w:t>
            </w:r>
          </w:p>
        </w:tc>
        <w:tc>
          <w:tcPr>
            <w:tcW w:w="70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26,117</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17,276</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9,614</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26,890</w:t>
            </w:r>
          </w:p>
        </w:tc>
      </w:tr>
      <w:tr w:rsidR="009A4D67" w:rsidRPr="00D27CB6" w:rsidTr="008E77B8">
        <w:trPr>
          <w:trHeight w:val="25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9A4D67" w:rsidRPr="00D27CB6" w:rsidRDefault="009A4D67" w:rsidP="009A4D67">
            <w:pPr>
              <w:ind w:firstLineChars="100" w:firstLine="120"/>
              <w:rPr>
                <w:rFonts w:ascii="Arial" w:hAnsi="Arial" w:cs="Arial"/>
                <w:sz w:val="12"/>
                <w:szCs w:val="12"/>
                <w:lang w:val="hr-HR" w:eastAsia="hr-HR"/>
              </w:rPr>
            </w:pPr>
            <w:r w:rsidRPr="00D27CB6">
              <w:rPr>
                <w:rFonts w:ascii="Arial" w:hAnsi="Arial" w:cs="Arial"/>
                <w:sz w:val="12"/>
                <w:szCs w:val="12"/>
                <w:lang w:val="hr-HR" w:eastAsia="hr-HR"/>
              </w:rPr>
              <w:t>Porezi građana</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 </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7,148</w:t>
            </w:r>
          </w:p>
        </w:tc>
        <w:tc>
          <w:tcPr>
            <w:tcW w:w="8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7,148</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 </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7,598</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7,598</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6,916</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72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6,916</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7,075</w:t>
            </w:r>
          </w:p>
        </w:tc>
        <w:tc>
          <w:tcPr>
            <w:tcW w:w="70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7,075</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7,261</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7,261</w:t>
            </w:r>
          </w:p>
        </w:tc>
      </w:tr>
      <w:tr w:rsidR="009A4D67" w:rsidRPr="00D27CB6" w:rsidTr="008E77B8">
        <w:trPr>
          <w:trHeight w:val="25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9A4D67" w:rsidRPr="00D27CB6" w:rsidRDefault="009A4D67" w:rsidP="009A4D67">
            <w:pPr>
              <w:ind w:firstLineChars="100" w:firstLine="120"/>
              <w:rPr>
                <w:rFonts w:ascii="Arial" w:hAnsi="Arial" w:cs="Arial"/>
                <w:sz w:val="12"/>
                <w:szCs w:val="12"/>
                <w:lang w:val="hr-HR" w:eastAsia="hr-HR"/>
              </w:rPr>
            </w:pPr>
            <w:r w:rsidRPr="00D27CB6">
              <w:rPr>
                <w:rFonts w:ascii="Arial" w:hAnsi="Arial" w:cs="Arial"/>
                <w:sz w:val="12"/>
                <w:szCs w:val="12"/>
                <w:lang w:val="hr-HR" w:eastAsia="hr-HR"/>
              </w:rPr>
              <w:t>Ostali porezi</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 </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0,027</w:t>
            </w:r>
          </w:p>
        </w:tc>
        <w:tc>
          <w:tcPr>
            <w:tcW w:w="8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106,430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106,457</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 </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0,005</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102,967</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102,972</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0,005</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87,792</w:t>
            </w:r>
          </w:p>
        </w:tc>
        <w:tc>
          <w:tcPr>
            <w:tcW w:w="72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87,797</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0,004</w:t>
            </w:r>
          </w:p>
        </w:tc>
        <w:tc>
          <w:tcPr>
            <w:tcW w:w="70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89,780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89,784</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0,004</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92,080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92,084</w:t>
            </w:r>
          </w:p>
        </w:tc>
      </w:tr>
      <w:tr w:rsidR="009A4D67" w:rsidRPr="00D27CB6" w:rsidTr="008E77B8">
        <w:trPr>
          <w:trHeight w:val="25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9A4D67" w:rsidRPr="00D27CB6" w:rsidRDefault="009A4D67" w:rsidP="009A4D67">
            <w:pPr>
              <w:ind w:firstLineChars="100" w:firstLine="120"/>
              <w:rPr>
                <w:rFonts w:ascii="Arial" w:hAnsi="Arial" w:cs="Arial"/>
                <w:b/>
                <w:bCs/>
                <w:i/>
                <w:iCs/>
                <w:sz w:val="12"/>
                <w:szCs w:val="12"/>
                <w:lang w:val="hr-HR" w:eastAsia="hr-HR"/>
              </w:rPr>
            </w:pPr>
            <w:r w:rsidRPr="00D27CB6">
              <w:rPr>
                <w:rFonts w:ascii="Arial" w:hAnsi="Arial" w:cs="Arial"/>
                <w:b/>
                <w:bCs/>
                <w:i/>
                <w:iCs/>
                <w:sz w:val="12"/>
                <w:szCs w:val="12"/>
                <w:lang w:val="hr-HR" w:eastAsia="hr-HR"/>
              </w:rPr>
              <w:t>II   Neporezni prihodi</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9,636</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32,963</w:t>
            </w:r>
          </w:p>
        </w:tc>
        <w:tc>
          <w:tcPr>
            <w:tcW w:w="8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7,023</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49,622</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13,820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40,169</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7,158</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61,147</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13,100</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30,544</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6,779</w:t>
            </w:r>
          </w:p>
        </w:tc>
        <w:tc>
          <w:tcPr>
            <w:tcW w:w="72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50,423</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11,000</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31,152</w:t>
            </w:r>
          </w:p>
        </w:tc>
        <w:tc>
          <w:tcPr>
            <w:tcW w:w="70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6,761</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48,913</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12,100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31,490</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6,750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50,340</w:t>
            </w:r>
          </w:p>
        </w:tc>
      </w:tr>
      <w:tr w:rsidR="009A4D67" w:rsidRPr="00D27CB6" w:rsidTr="008E77B8">
        <w:trPr>
          <w:trHeight w:val="34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9A4D67" w:rsidRPr="00D27CB6" w:rsidRDefault="009A4D67" w:rsidP="009A4D67">
            <w:pPr>
              <w:ind w:firstLineChars="100" w:firstLine="120"/>
              <w:rPr>
                <w:rFonts w:ascii="Arial" w:hAnsi="Arial" w:cs="Arial"/>
                <w:sz w:val="12"/>
                <w:szCs w:val="12"/>
                <w:lang w:val="hr-HR" w:eastAsia="hr-HR"/>
              </w:rPr>
            </w:pPr>
            <w:r w:rsidRPr="00D27CB6">
              <w:rPr>
                <w:rFonts w:ascii="Arial" w:hAnsi="Arial" w:cs="Arial"/>
                <w:sz w:val="12"/>
                <w:szCs w:val="12"/>
                <w:lang w:val="hr-HR" w:eastAsia="hr-HR"/>
              </w:rPr>
              <w:t>Prihodi od pod.aktivnosti i imovine</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b/>
                <w:bCs/>
                <w:sz w:val="12"/>
                <w:szCs w:val="12"/>
              </w:rPr>
              <w:t>0,077</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7,586</w:t>
            </w:r>
          </w:p>
        </w:tc>
        <w:tc>
          <w:tcPr>
            <w:tcW w:w="8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0,083</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7,746</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1,100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3,399</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0,060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4,559</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0,500</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1,694</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0,060</w:t>
            </w:r>
          </w:p>
        </w:tc>
        <w:tc>
          <w:tcPr>
            <w:tcW w:w="72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2,254</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0,300</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1,768</w:t>
            </w:r>
          </w:p>
        </w:tc>
        <w:tc>
          <w:tcPr>
            <w:tcW w:w="70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0,060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2,128</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0,500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1,805</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0,060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2,365</w:t>
            </w:r>
          </w:p>
        </w:tc>
      </w:tr>
      <w:tr w:rsidR="009A4D67" w:rsidRPr="00D27CB6" w:rsidTr="008E77B8">
        <w:trPr>
          <w:trHeight w:val="34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9A4D67" w:rsidRPr="00D27CB6" w:rsidRDefault="009A4D67" w:rsidP="009A4D67">
            <w:pPr>
              <w:ind w:firstLineChars="100" w:firstLine="120"/>
              <w:rPr>
                <w:rFonts w:ascii="Arial" w:hAnsi="Arial" w:cs="Arial"/>
                <w:sz w:val="12"/>
                <w:szCs w:val="12"/>
                <w:lang w:val="hr-HR" w:eastAsia="hr-HR"/>
              </w:rPr>
            </w:pPr>
            <w:r w:rsidRPr="00D27CB6">
              <w:rPr>
                <w:rFonts w:ascii="Arial" w:hAnsi="Arial" w:cs="Arial"/>
                <w:sz w:val="12"/>
                <w:szCs w:val="12"/>
                <w:lang w:val="hr-HR" w:eastAsia="hr-HR"/>
              </w:rPr>
              <w:t xml:space="preserve">Naknade i takse, vlastiti prihodi </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b/>
                <w:bCs/>
                <w:sz w:val="12"/>
                <w:szCs w:val="12"/>
              </w:rPr>
              <w:t>5,272</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25,298</w:t>
            </w:r>
          </w:p>
        </w:tc>
        <w:tc>
          <w:tcPr>
            <w:tcW w:w="8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6,940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37,510</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7,620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36,394</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7,098</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51,112</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7,600</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28,624</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6,719</w:t>
            </w:r>
          </w:p>
        </w:tc>
        <w:tc>
          <w:tcPr>
            <w:tcW w:w="72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42,943</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6,600</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29,140</w:t>
            </w:r>
          </w:p>
        </w:tc>
        <w:tc>
          <w:tcPr>
            <w:tcW w:w="70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6,701</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42,441</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7,500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29,435</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6,690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43,625</w:t>
            </w:r>
          </w:p>
        </w:tc>
      </w:tr>
      <w:tr w:rsidR="009A4D67" w:rsidRPr="00D27CB6" w:rsidTr="008E77B8">
        <w:trPr>
          <w:trHeight w:val="25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9A4D67" w:rsidRPr="00D27CB6" w:rsidRDefault="009A4D67" w:rsidP="009A4D67">
            <w:pPr>
              <w:ind w:firstLineChars="100" w:firstLine="120"/>
              <w:rPr>
                <w:rFonts w:ascii="Arial" w:hAnsi="Arial" w:cs="Arial"/>
                <w:sz w:val="12"/>
                <w:szCs w:val="12"/>
                <w:lang w:val="hr-HR" w:eastAsia="hr-HR"/>
              </w:rPr>
            </w:pPr>
            <w:r w:rsidRPr="00D27CB6">
              <w:rPr>
                <w:rFonts w:ascii="Arial" w:hAnsi="Arial" w:cs="Arial"/>
                <w:sz w:val="12"/>
                <w:szCs w:val="12"/>
                <w:lang w:val="hr-HR" w:eastAsia="hr-HR"/>
              </w:rPr>
              <w:t xml:space="preserve">Novčane kazne </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4,287</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0,079</w:t>
            </w:r>
          </w:p>
        </w:tc>
        <w:tc>
          <w:tcPr>
            <w:tcW w:w="8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4,366</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5,100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0,376</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5,476</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5,000</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0,226</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72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5,226</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4,100</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0,244</w:t>
            </w:r>
          </w:p>
        </w:tc>
        <w:tc>
          <w:tcPr>
            <w:tcW w:w="70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4,344</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4,100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0,250</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0,000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sz w:val="12"/>
                <w:szCs w:val="12"/>
                <w:lang w:val="hr-HR" w:eastAsia="hr-HR"/>
              </w:rPr>
            </w:pPr>
            <w:r w:rsidRPr="009A4D67">
              <w:rPr>
                <w:sz w:val="12"/>
                <w:szCs w:val="12"/>
              </w:rPr>
              <w:t>4,350</w:t>
            </w:r>
          </w:p>
        </w:tc>
      </w:tr>
      <w:tr w:rsidR="009A4D67" w:rsidRPr="00D27CB6" w:rsidTr="008E77B8">
        <w:trPr>
          <w:trHeight w:val="25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9A4D67" w:rsidRPr="00D27CB6" w:rsidRDefault="009A4D67" w:rsidP="009A4D67">
            <w:pPr>
              <w:rPr>
                <w:rFonts w:ascii="Arial" w:hAnsi="Arial" w:cs="Arial"/>
                <w:b/>
                <w:bCs/>
                <w:i/>
                <w:iCs/>
                <w:sz w:val="12"/>
                <w:szCs w:val="12"/>
                <w:lang w:val="hr-HR" w:eastAsia="hr-HR"/>
              </w:rPr>
            </w:pPr>
            <w:r w:rsidRPr="00D27CB6">
              <w:rPr>
                <w:rFonts w:ascii="Arial" w:hAnsi="Arial" w:cs="Arial"/>
                <w:b/>
                <w:bCs/>
                <w:i/>
                <w:iCs/>
                <w:sz w:val="12"/>
                <w:szCs w:val="12"/>
                <w:lang w:val="hr-HR" w:eastAsia="hr-HR"/>
              </w:rPr>
              <w:t xml:space="preserve">  Tekući transferi</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2,000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4,564</w:t>
            </w:r>
          </w:p>
        </w:tc>
        <w:tc>
          <w:tcPr>
            <w:tcW w:w="8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1,507</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8,071</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4,000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6,220</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3,618</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13,838</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6,000</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6,452</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3,727</w:t>
            </w:r>
          </w:p>
        </w:tc>
        <w:tc>
          <w:tcPr>
            <w:tcW w:w="72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16,179</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3,000</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6,174</w:t>
            </w:r>
          </w:p>
        </w:tc>
        <w:tc>
          <w:tcPr>
            <w:tcW w:w="70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3,341</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12,515</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3,000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6,200</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3,761</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12,961</w:t>
            </w:r>
          </w:p>
        </w:tc>
      </w:tr>
      <w:tr w:rsidR="009A4D67" w:rsidRPr="00D27CB6" w:rsidTr="008E77B8">
        <w:trPr>
          <w:trHeight w:val="25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9A4D67" w:rsidRPr="00D27CB6" w:rsidRDefault="009A4D67" w:rsidP="009A4D67">
            <w:pPr>
              <w:rPr>
                <w:rFonts w:ascii="Arial" w:hAnsi="Arial" w:cs="Arial"/>
                <w:b/>
                <w:bCs/>
                <w:i/>
                <w:iCs/>
                <w:sz w:val="12"/>
                <w:szCs w:val="12"/>
                <w:lang w:val="hr-HR" w:eastAsia="hr-HR"/>
              </w:rPr>
            </w:pPr>
            <w:r w:rsidRPr="00D27CB6">
              <w:rPr>
                <w:rFonts w:ascii="Arial" w:hAnsi="Arial" w:cs="Arial"/>
                <w:b/>
                <w:bCs/>
                <w:i/>
                <w:iCs/>
                <w:sz w:val="12"/>
                <w:szCs w:val="12"/>
                <w:lang w:val="hr-HR" w:eastAsia="hr-HR"/>
              </w:rPr>
              <w:t xml:space="preserve"> Kapitalni transferi</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 </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4,206</w:t>
            </w:r>
          </w:p>
        </w:tc>
        <w:tc>
          <w:tcPr>
            <w:tcW w:w="8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0,148</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4,354</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9,808</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9,808</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6,379</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72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6,379</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6,716</w:t>
            </w:r>
          </w:p>
        </w:tc>
        <w:tc>
          <w:tcPr>
            <w:tcW w:w="70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6,716</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6,783</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6,783</w:t>
            </w:r>
          </w:p>
        </w:tc>
      </w:tr>
      <w:tr w:rsidR="009A4D67" w:rsidRPr="00D27CB6" w:rsidTr="008E77B8">
        <w:trPr>
          <w:trHeight w:val="25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9A4D67" w:rsidRPr="00D27CB6" w:rsidRDefault="009A4D67" w:rsidP="009A4D67">
            <w:pPr>
              <w:rPr>
                <w:rFonts w:ascii="Arial" w:hAnsi="Arial" w:cs="Arial"/>
                <w:b/>
                <w:bCs/>
                <w:i/>
                <w:iCs/>
                <w:sz w:val="12"/>
                <w:szCs w:val="12"/>
                <w:lang w:val="hr-HR" w:eastAsia="hr-HR"/>
              </w:rPr>
            </w:pPr>
            <w:r w:rsidRPr="00D27CB6">
              <w:rPr>
                <w:rFonts w:ascii="Arial" w:hAnsi="Arial" w:cs="Arial"/>
                <w:b/>
                <w:bCs/>
                <w:i/>
                <w:iCs/>
                <w:sz w:val="12"/>
                <w:szCs w:val="12"/>
                <w:lang w:val="hr-HR" w:eastAsia="hr-HR"/>
              </w:rPr>
              <w:t>Donacije</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 </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0,885</w:t>
            </w:r>
          </w:p>
        </w:tc>
        <w:tc>
          <w:tcPr>
            <w:tcW w:w="8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0,885</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 </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1,875</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1,875</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 </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0,849</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72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0,849</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 </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0,835</w:t>
            </w:r>
          </w:p>
        </w:tc>
        <w:tc>
          <w:tcPr>
            <w:tcW w:w="70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0,835</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 </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0,862</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0,862</w:t>
            </w:r>
          </w:p>
        </w:tc>
      </w:tr>
      <w:tr w:rsidR="009A4D67" w:rsidRPr="00D27CB6" w:rsidTr="008E77B8">
        <w:trPr>
          <w:trHeight w:val="25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9A4D67" w:rsidRPr="00D27CB6" w:rsidRDefault="009A4D67" w:rsidP="009A4D67">
            <w:pPr>
              <w:rPr>
                <w:rFonts w:ascii="Arial" w:hAnsi="Arial" w:cs="Arial"/>
                <w:b/>
                <w:bCs/>
                <w:i/>
                <w:iCs/>
                <w:sz w:val="12"/>
                <w:szCs w:val="12"/>
                <w:lang w:val="hr-HR" w:eastAsia="hr-HR"/>
              </w:rPr>
            </w:pPr>
            <w:r w:rsidRPr="00D27CB6">
              <w:rPr>
                <w:rFonts w:ascii="Arial" w:hAnsi="Arial" w:cs="Arial"/>
                <w:b/>
                <w:bCs/>
                <w:i/>
                <w:iCs/>
                <w:sz w:val="12"/>
                <w:szCs w:val="12"/>
                <w:lang w:val="hr-HR" w:eastAsia="hr-HR"/>
              </w:rPr>
              <w:t>Kapitalni primici</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0,002</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1,458</w:t>
            </w:r>
          </w:p>
        </w:tc>
        <w:tc>
          <w:tcPr>
            <w:tcW w:w="8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1,460</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0,100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2,458</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2,558</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0,100</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1,590</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72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1,690</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0,100</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0,783</w:t>
            </w:r>
          </w:p>
        </w:tc>
        <w:tc>
          <w:tcPr>
            <w:tcW w:w="70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0,883</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0,100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0,571</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0,671</w:t>
            </w:r>
          </w:p>
        </w:tc>
      </w:tr>
      <w:tr w:rsidR="009A4D67" w:rsidRPr="00D27CB6" w:rsidTr="008E77B8">
        <w:trPr>
          <w:trHeight w:val="34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9A4D67" w:rsidRPr="00D27CB6" w:rsidRDefault="009A4D67" w:rsidP="009A4D67">
            <w:pPr>
              <w:rPr>
                <w:rFonts w:ascii="Arial" w:hAnsi="Arial" w:cs="Arial"/>
                <w:b/>
                <w:bCs/>
                <w:i/>
                <w:iCs/>
                <w:sz w:val="12"/>
                <w:szCs w:val="12"/>
                <w:lang w:val="hr-HR" w:eastAsia="hr-HR"/>
              </w:rPr>
            </w:pPr>
            <w:r w:rsidRPr="00D27CB6">
              <w:rPr>
                <w:rFonts w:ascii="Arial" w:hAnsi="Arial" w:cs="Arial"/>
                <w:b/>
                <w:bCs/>
                <w:i/>
                <w:iCs/>
                <w:sz w:val="12"/>
                <w:szCs w:val="12"/>
                <w:lang w:val="hr-HR" w:eastAsia="hr-HR"/>
              </w:rPr>
              <w:t>KP od dugo. i kratko. zaduživanja</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0,129</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3,000</w:t>
            </w:r>
          </w:p>
        </w:tc>
        <w:tc>
          <w:tcPr>
            <w:tcW w:w="8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3,129</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13,921</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sz w:val="12"/>
                <w:szCs w:val="12"/>
                <w:lang w:val="hr-HR" w:eastAsia="hr-HR"/>
              </w:rPr>
            </w:pPr>
            <w:r w:rsidRPr="009A4D67">
              <w:rPr>
                <w:sz w:val="12"/>
                <w:szCs w:val="12"/>
              </w:rPr>
              <w:t>5,200</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19,121</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23,206</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1,000</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72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24,206</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0,100</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1,000</w:t>
            </w:r>
          </w:p>
        </w:tc>
        <w:tc>
          <w:tcPr>
            <w:tcW w:w="70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1,100</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0,100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1,000</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1,100</w:t>
            </w:r>
          </w:p>
        </w:tc>
      </w:tr>
      <w:tr w:rsidR="009A4D67" w:rsidRPr="00D27CB6" w:rsidTr="006D3E86">
        <w:trPr>
          <w:trHeight w:val="25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9A4D67" w:rsidRPr="00D27CB6" w:rsidRDefault="009A4D67" w:rsidP="009A4D67">
            <w:pPr>
              <w:rPr>
                <w:rFonts w:ascii="Arial" w:hAnsi="Arial" w:cs="Arial"/>
                <w:b/>
                <w:bCs/>
                <w:i/>
                <w:iCs/>
                <w:sz w:val="12"/>
                <w:szCs w:val="12"/>
                <w:lang w:val="hr-HR" w:eastAsia="hr-HR"/>
              </w:rPr>
            </w:pPr>
            <w:r w:rsidRPr="00D27CB6">
              <w:rPr>
                <w:rFonts w:ascii="Arial" w:hAnsi="Arial" w:cs="Arial"/>
                <w:b/>
                <w:bCs/>
                <w:i/>
                <w:iCs/>
                <w:sz w:val="12"/>
                <w:szCs w:val="12"/>
                <w:lang w:val="hr-HR" w:eastAsia="hr-HR"/>
              </w:rPr>
              <w:t xml:space="preserve">Višak prihoda </w:t>
            </w:r>
          </w:p>
        </w:tc>
        <w:tc>
          <w:tcPr>
            <w:tcW w:w="680" w:type="dxa"/>
            <w:tcBorders>
              <w:top w:val="nil"/>
              <w:left w:val="nil"/>
              <w:bottom w:val="single" w:sz="4" w:space="0" w:color="auto"/>
              <w:right w:val="dotted" w:sz="4" w:space="0" w:color="auto"/>
            </w:tcBorders>
            <w:shd w:val="clear" w:color="000000" w:fill="FFFFFF"/>
            <w:hideMark/>
          </w:tcPr>
          <w:p w:rsidR="009A4D67" w:rsidRPr="009A4D67" w:rsidRDefault="009A4D67" w:rsidP="009A4D67">
            <w:pPr>
              <w:jc w:val="right"/>
              <w:rPr>
                <w:b/>
                <w:bCs/>
                <w:sz w:val="12"/>
                <w:szCs w:val="12"/>
                <w:lang w:val="hr-HR" w:eastAsia="hr-HR"/>
              </w:rPr>
            </w:pPr>
            <w:r w:rsidRPr="009A4D67">
              <w:rPr>
                <w:b/>
                <w:bCs/>
                <w:sz w:val="12"/>
                <w:szCs w:val="12"/>
              </w:rPr>
              <w:t> </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2,602</w:t>
            </w:r>
          </w:p>
        </w:tc>
        <w:tc>
          <w:tcPr>
            <w:tcW w:w="8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0,796</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3,398</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7,227</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3,474</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10,701</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0,100</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0,922</w:t>
            </w:r>
          </w:p>
        </w:tc>
        <w:tc>
          <w:tcPr>
            <w:tcW w:w="72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1,022</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0,150</w:t>
            </w:r>
          </w:p>
        </w:tc>
        <w:tc>
          <w:tcPr>
            <w:tcW w:w="70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0,617</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0,767</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0,000</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0,200</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0,208</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0,408</w:t>
            </w:r>
          </w:p>
        </w:tc>
      </w:tr>
      <w:tr w:rsidR="009A4D67" w:rsidRPr="00D27CB6" w:rsidTr="006D3E86">
        <w:trPr>
          <w:trHeight w:val="255"/>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9A4D67" w:rsidRPr="00D27CB6" w:rsidRDefault="009A4D67" w:rsidP="009A4D67">
            <w:pPr>
              <w:ind w:firstLineChars="100" w:firstLine="120"/>
              <w:rPr>
                <w:rFonts w:ascii="Arial" w:hAnsi="Arial" w:cs="Arial"/>
                <w:b/>
                <w:bCs/>
                <w:sz w:val="12"/>
                <w:szCs w:val="12"/>
                <w:lang w:val="hr-HR" w:eastAsia="hr-HR"/>
              </w:rPr>
            </w:pPr>
            <w:r w:rsidRPr="00D27CB6">
              <w:rPr>
                <w:rFonts w:ascii="Arial" w:hAnsi="Arial" w:cs="Arial"/>
                <w:b/>
                <w:bCs/>
                <w:sz w:val="12"/>
                <w:szCs w:val="12"/>
                <w:lang w:val="hr-HR" w:eastAsia="hr-HR"/>
              </w:rPr>
              <w:t>UKUPNO</w:t>
            </w:r>
          </w:p>
        </w:tc>
        <w:tc>
          <w:tcPr>
            <w:tcW w:w="680" w:type="dxa"/>
            <w:tcBorders>
              <w:top w:val="nil"/>
              <w:left w:val="nil"/>
              <w:bottom w:val="single" w:sz="4" w:space="0" w:color="auto"/>
              <w:right w:val="dotted" w:sz="4" w:space="0" w:color="auto"/>
            </w:tcBorders>
            <w:shd w:val="clear" w:color="000000" w:fill="FFFFFF"/>
            <w:hideMark/>
          </w:tcPr>
          <w:p w:rsidR="009A4D67" w:rsidRPr="009A4D67" w:rsidRDefault="009A4D67" w:rsidP="009A4D67">
            <w:pPr>
              <w:jc w:val="right"/>
              <w:rPr>
                <w:b/>
                <w:bCs/>
                <w:sz w:val="12"/>
                <w:szCs w:val="12"/>
                <w:lang w:val="hr-HR" w:eastAsia="hr-HR"/>
              </w:rPr>
            </w:pPr>
            <w:r w:rsidRPr="009A4D67">
              <w:rPr>
                <w:b/>
                <w:bCs/>
                <w:sz w:val="12"/>
                <w:szCs w:val="12"/>
              </w:rPr>
              <w:t>198,136</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102,766</w:t>
            </w:r>
          </w:p>
        </w:tc>
        <w:tc>
          <w:tcPr>
            <w:tcW w:w="8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130,619</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431,521</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color w:val="000000"/>
                <w:sz w:val="12"/>
                <w:szCs w:val="12"/>
                <w:lang w:val="hr-HR" w:eastAsia="hr-HR"/>
              </w:rPr>
            </w:pPr>
            <w:r w:rsidRPr="009A4D67">
              <w:rPr>
                <w:b/>
                <w:bCs/>
                <w:color w:val="000000"/>
                <w:sz w:val="12"/>
                <w:szCs w:val="12"/>
              </w:rPr>
              <w:t>216,529</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128,25</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131,782</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476,558</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206,956</w:t>
            </w:r>
          </w:p>
        </w:tc>
        <w:tc>
          <w:tcPr>
            <w:tcW w:w="68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94,373</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113,237</w:t>
            </w:r>
          </w:p>
        </w:tc>
        <w:tc>
          <w:tcPr>
            <w:tcW w:w="72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414,566</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187,631</w:t>
            </w:r>
          </w:p>
        </w:tc>
        <w:tc>
          <w:tcPr>
            <w:tcW w:w="72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96,653</w:t>
            </w:r>
          </w:p>
        </w:tc>
        <w:tc>
          <w:tcPr>
            <w:tcW w:w="70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115,058</w:t>
            </w:r>
          </w:p>
        </w:tc>
        <w:tc>
          <w:tcPr>
            <w:tcW w:w="70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399,342</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191,336</w:t>
            </w:r>
          </w:p>
        </w:tc>
        <w:tc>
          <w:tcPr>
            <w:tcW w:w="663"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98,122</w:t>
            </w:r>
          </w:p>
        </w:tc>
        <w:tc>
          <w:tcPr>
            <w:tcW w:w="660" w:type="dxa"/>
            <w:tcBorders>
              <w:top w:val="nil"/>
              <w:left w:val="nil"/>
              <w:bottom w:val="single" w:sz="4" w:space="0" w:color="auto"/>
              <w:right w:val="dotted" w:sz="4" w:space="0" w:color="auto"/>
            </w:tcBorders>
            <w:shd w:val="clear" w:color="auto" w:fill="auto"/>
            <w:hideMark/>
          </w:tcPr>
          <w:p w:rsidR="009A4D67" w:rsidRPr="009A4D67" w:rsidRDefault="009A4D67" w:rsidP="009A4D67">
            <w:pPr>
              <w:jc w:val="right"/>
              <w:rPr>
                <w:b/>
                <w:bCs/>
                <w:sz w:val="12"/>
                <w:szCs w:val="12"/>
                <w:lang w:val="hr-HR" w:eastAsia="hr-HR"/>
              </w:rPr>
            </w:pPr>
            <w:r w:rsidRPr="009A4D67">
              <w:rPr>
                <w:b/>
                <w:bCs/>
                <w:sz w:val="12"/>
                <w:szCs w:val="12"/>
              </w:rPr>
              <w:t>117,467</w:t>
            </w:r>
          </w:p>
        </w:tc>
        <w:tc>
          <w:tcPr>
            <w:tcW w:w="680" w:type="dxa"/>
            <w:tcBorders>
              <w:top w:val="nil"/>
              <w:left w:val="nil"/>
              <w:bottom w:val="single" w:sz="4" w:space="0" w:color="auto"/>
              <w:right w:val="single" w:sz="4" w:space="0" w:color="auto"/>
            </w:tcBorders>
            <w:shd w:val="clear" w:color="000000" w:fill="CCFFCC"/>
            <w:hideMark/>
          </w:tcPr>
          <w:p w:rsidR="009A4D67" w:rsidRPr="009A4D67" w:rsidRDefault="009A4D67" w:rsidP="009A4D67">
            <w:pPr>
              <w:jc w:val="right"/>
              <w:rPr>
                <w:b/>
                <w:bCs/>
                <w:sz w:val="12"/>
                <w:szCs w:val="12"/>
                <w:lang w:val="hr-HR" w:eastAsia="hr-HR"/>
              </w:rPr>
            </w:pPr>
            <w:r w:rsidRPr="009A4D67">
              <w:rPr>
                <w:b/>
                <w:bCs/>
                <w:sz w:val="12"/>
                <w:szCs w:val="12"/>
              </w:rPr>
              <w:t>406,925</w:t>
            </w:r>
          </w:p>
        </w:tc>
      </w:tr>
    </w:tbl>
    <w:p w:rsidR="00E72F51" w:rsidRDefault="00E72F51" w:rsidP="006E76ED">
      <w:pPr>
        <w:tabs>
          <w:tab w:val="left" w:pos="3915"/>
        </w:tabs>
        <w:rPr>
          <w:b/>
          <w:sz w:val="20"/>
          <w:lang w:val="hr-BA"/>
        </w:rPr>
      </w:pPr>
    </w:p>
    <w:p w:rsidR="00D27CB6" w:rsidRDefault="00D27CB6" w:rsidP="006E76ED">
      <w:pPr>
        <w:tabs>
          <w:tab w:val="left" w:pos="3915"/>
        </w:tabs>
        <w:rPr>
          <w:b/>
          <w:sz w:val="20"/>
          <w:lang w:val="hr-BA"/>
        </w:rPr>
      </w:pPr>
    </w:p>
    <w:p w:rsidR="00D27CB6" w:rsidRDefault="00D27CB6" w:rsidP="006E76ED">
      <w:pPr>
        <w:tabs>
          <w:tab w:val="left" w:pos="3915"/>
        </w:tabs>
        <w:rPr>
          <w:b/>
          <w:sz w:val="20"/>
          <w:lang w:val="hr-BA"/>
        </w:rPr>
      </w:pPr>
    </w:p>
    <w:p w:rsidR="008E77B8" w:rsidRDefault="008E77B8" w:rsidP="006E76ED">
      <w:pPr>
        <w:tabs>
          <w:tab w:val="left" w:pos="3915"/>
        </w:tabs>
        <w:rPr>
          <w:b/>
          <w:sz w:val="20"/>
          <w:lang w:val="hr-BA"/>
        </w:rPr>
      </w:pPr>
    </w:p>
    <w:p w:rsidR="008E77B8" w:rsidRDefault="008E77B8" w:rsidP="006E76ED">
      <w:pPr>
        <w:tabs>
          <w:tab w:val="left" w:pos="3915"/>
        </w:tabs>
        <w:rPr>
          <w:b/>
          <w:sz w:val="20"/>
          <w:lang w:val="hr-BA"/>
        </w:rPr>
      </w:pPr>
    </w:p>
    <w:p w:rsidR="008E77B8" w:rsidRDefault="008E77B8" w:rsidP="006E76ED">
      <w:pPr>
        <w:tabs>
          <w:tab w:val="left" w:pos="3915"/>
        </w:tabs>
        <w:rPr>
          <w:b/>
          <w:sz w:val="20"/>
          <w:lang w:val="hr-BA"/>
        </w:rPr>
      </w:pPr>
    </w:p>
    <w:p w:rsidR="008E77B8" w:rsidRDefault="008E77B8" w:rsidP="006E76ED">
      <w:pPr>
        <w:tabs>
          <w:tab w:val="left" w:pos="3915"/>
        </w:tabs>
        <w:rPr>
          <w:b/>
          <w:sz w:val="20"/>
          <w:lang w:val="hr-BA"/>
        </w:rPr>
      </w:pPr>
    </w:p>
    <w:p w:rsidR="00EC7B7C" w:rsidRDefault="00EC7B7C" w:rsidP="006E76ED">
      <w:pPr>
        <w:tabs>
          <w:tab w:val="left" w:pos="3915"/>
        </w:tabs>
        <w:rPr>
          <w:b/>
          <w:sz w:val="20"/>
          <w:lang w:val="hr-BA"/>
        </w:rPr>
      </w:pPr>
    </w:p>
    <w:p w:rsidR="00EC7B7C" w:rsidRDefault="00EC7B7C" w:rsidP="006E76ED">
      <w:pPr>
        <w:tabs>
          <w:tab w:val="left" w:pos="3915"/>
        </w:tabs>
        <w:rPr>
          <w:b/>
          <w:sz w:val="20"/>
          <w:lang w:val="hr-BA"/>
        </w:rPr>
      </w:pPr>
    </w:p>
    <w:p w:rsidR="00EC7B7C" w:rsidRDefault="00EC7B7C" w:rsidP="006E76ED">
      <w:pPr>
        <w:tabs>
          <w:tab w:val="left" w:pos="3915"/>
        </w:tabs>
        <w:rPr>
          <w:b/>
          <w:sz w:val="20"/>
          <w:lang w:val="hr-BA"/>
        </w:rPr>
      </w:pPr>
    </w:p>
    <w:p w:rsidR="008E77B8" w:rsidRDefault="008E77B8" w:rsidP="006E76ED">
      <w:pPr>
        <w:tabs>
          <w:tab w:val="left" w:pos="3915"/>
        </w:tabs>
        <w:rPr>
          <w:b/>
          <w:sz w:val="20"/>
          <w:lang w:val="hr-BA"/>
        </w:rPr>
      </w:pPr>
    </w:p>
    <w:p w:rsidR="008E77B8" w:rsidRDefault="008E77B8" w:rsidP="006E76ED">
      <w:pPr>
        <w:tabs>
          <w:tab w:val="left" w:pos="3915"/>
        </w:tabs>
        <w:rPr>
          <w:b/>
          <w:sz w:val="20"/>
          <w:lang w:val="hr-BA"/>
        </w:rPr>
      </w:pPr>
    </w:p>
    <w:p w:rsidR="008E77B8" w:rsidRDefault="008E77B8" w:rsidP="006E76ED">
      <w:pPr>
        <w:tabs>
          <w:tab w:val="left" w:pos="3915"/>
        </w:tabs>
        <w:rPr>
          <w:b/>
          <w:sz w:val="20"/>
          <w:lang w:val="hr-BA"/>
        </w:rPr>
      </w:pPr>
    </w:p>
    <w:p w:rsidR="008E77B8" w:rsidRDefault="008E77B8" w:rsidP="006E76ED">
      <w:pPr>
        <w:tabs>
          <w:tab w:val="left" w:pos="3915"/>
        </w:tabs>
        <w:rPr>
          <w:b/>
          <w:sz w:val="20"/>
          <w:lang w:val="hr-BA"/>
        </w:rPr>
      </w:pPr>
    </w:p>
    <w:p w:rsidR="008E77B8" w:rsidRDefault="008E77B8" w:rsidP="006E76ED">
      <w:pPr>
        <w:tabs>
          <w:tab w:val="left" w:pos="3915"/>
        </w:tabs>
        <w:rPr>
          <w:b/>
          <w:sz w:val="20"/>
          <w:lang w:val="hr-BA"/>
        </w:rPr>
      </w:pPr>
    </w:p>
    <w:p w:rsidR="008E77B8" w:rsidRDefault="008E77B8" w:rsidP="006E76ED">
      <w:pPr>
        <w:tabs>
          <w:tab w:val="left" w:pos="3915"/>
        </w:tabs>
        <w:rPr>
          <w:b/>
          <w:sz w:val="20"/>
          <w:lang w:val="hr-BA"/>
        </w:rPr>
      </w:pPr>
    </w:p>
    <w:p w:rsidR="008E77B8" w:rsidRDefault="008E77B8" w:rsidP="006E76ED">
      <w:pPr>
        <w:tabs>
          <w:tab w:val="left" w:pos="3915"/>
        </w:tabs>
        <w:rPr>
          <w:b/>
          <w:sz w:val="20"/>
          <w:lang w:val="hr-BA"/>
        </w:rPr>
      </w:pPr>
    </w:p>
    <w:p w:rsidR="008E77B8" w:rsidRDefault="008E77B8" w:rsidP="006E76ED">
      <w:pPr>
        <w:tabs>
          <w:tab w:val="left" w:pos="3915"/>
        </w:tabs>
        <w:rPr>
          <w:b/>
          <w:sz w:val="20"/>
          <w:lang w:val="hr-BA"/>
        </w:rPr>
      </w:pPr>
    </w:p>
    <w:p w:rsidR="003072DF" w:rsidRDefault="003072DF" w:rsidP="006E76ED">
      <w:pPr>
        <w:tabs>
          <w:tab w:val="left" w:pos="3915"/>
        </w:tabs>
        <w:rPr>
          <w:b/>
          <w:sz w:val="20"/>
          <w:lang w:val="hr-BA"/>
        </w:rPr>
      </w:pPr>
      <w:r>
        <w:rPr>
          <w:b/>
          <w:sz w:val="20"/>
          <w:lang w:val="hr-BA"/>
        </w:rPr>
        <w:lastRenderedPageBreak/>
        <w:t xml:space="preserve">Dodatak B- Konsolidirana </w:t>
      </w:r>
      <w:r w:rsidRPr="003072DF">
        <w:rPr>
          <w:b/>
          <w:sz w:val="20"/>
          <w:lang w:val="hr-BA"/>
        </w:rPr>
        <w:t>TABELA  RASHODA procjena budžeta po ekonomskoj klasifikaciji za period 2020- 202</w:t>
      </w:r>
      <w:r>
        <w:rPr>
          <w:b/>
          <w:sz w:val="20"/>
          <w:lang w:val="hr-BA"/>
        </w:rPr>
        <w:t>3</w:t>
      </w:r>
      <w:r w:rsidRPr="003072DF">
        <w:rPr>
          <w:b/>
          <w:sz w:val="20"/>
          <w:lang w:val="hr-BA"/>
        </w:rPr>
        <w:t xml:space="preserve"> . u mil. KM (Kanton-općine-VBF)</w:t>
      </w:r>
    </w:p>
    <w:tbl>
      <w:tblPr>
        <w:tblW w:w="14999" w:type="dxa"/>
        <w:tblInd w:w="114" w:type="dxa"/>
        <w:tblLook w:val="04A0"/>
      </w:tblPr>
      <w:tblGrid>
        <w:gridCol w:w="1395"/>
        <w:gridCol w:w="735"/>
        <w:gridCol w:w="613"/>
        <w:gridCol w:w="650"/>
        <w:gridCol w:w="663"/>
        <w:gridCol w:w="703"/>
        <w:gridCol w:w="742"/>
        <w:gridCol w:w="690"/>
        <w:gridCol w:w="767"/>
        <w:gridCol w:w="670"/>
        <w:gridCol w:w="656"/>
        <w:gridCol w:w="675"/>
        <w:gridCol w:w="770"/>
        <w:gridCol w:w="678"/>
        <w:gridCol w:w="584"/>
        <w:gridCol w:w="655"/>
        <w:gridCol w:w="691"/>
        <w:gridCol w:w="744"/>
        <w:gridCol w:w="584"/>
        <w:gridCol w:w="671"/>
        <w:gridCol w:w="663"/>
      </w:tblGrid>
      <w:tr w:rsidR="003072DF" w:rsidRPr="003072DF" w:rsidTr="003072DF">
        <w:trPr>
          <w:trHeight w:val="255"/>
        </w:trPr>
        <w:tc>
          <w:tcPr>
            <w:tcW w:w="1395" w:type="dxa"/>
            <w:vMerge w:val="restart"/>
            <w:tcBorders>
              <w:top w:val="single" w:sz="4" w:space="0" w:color="auto"/>
              <w:left w:val="single" w:sz="4" w:space="0" w:color="auto"/>
              <w:bottom w:val="single" w:sz="4" w:space="0" w:color="000000"/>
              <w:right w:val="nil"/>
            </w:tcBorders>
            <w:shd w:val="clear" w:color="000000" w:fill="FFFFFF"/>
            <w:hideMark/>
          </w:tcPr>
          <w:p w:rsidR="003072DF" w:rsidRDefault="003072DF">
            <w:pPr>
              <w:jc w:val="center"/>
              <w:rPr>
                <w:sz w:val="16"/>
                <w:szCs w:val="16"/>
                <w:lang w:eastAsia="en-GB"/>
              </w:rPr>
            </w:pPr>
            <w:r>
              <w:rPr>
                <w:sz w:val="16"/>
                <w:szCs w:val="16"/>
              </w:rPr>
              <w:t> </w:t>
            </w:r>
          </w:p>
        </w:tc>
        <w:tc>
          <w:tcPr>
            <w:tcW w:w="2661" w:type="dxa"/>
            <w:gridSpan w:val="4"/>
            <w:vMerge w:val="restart"/>
            <w:tcBorders>
              <w:top w:val="double" w:sz="6" w:space="0" w:color="auto"/>
              <w:left w:val="double" w:sz="6" w:space="0" w:color="auto"/>
              <w:bottom w:val="single" w:sz="4" w:space="0" w:color="000000"/>
              <w:right w:val="double" w:sz="6" w:space="0" w:color="000000"/>
            </w:tcBorders>
            <w:shd w:val="clear" w:color="000000" w:fill="FFFFFF"/>
            <w:vAlign w:val="bottom"/>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Ostvareno 2019.</w:t>
            </w:r>
          </w:p>
        </w:tc>
        <w:tc>
          <w:tcPr>
            <w:tcW w:w="2902" w:type="dxa"/>
            <w:gridSpan w:val="4"/>
            <w:vMerge w:val="restart"/>
            <w:tcBorders>
              <w:top w:val="double" w:sz="6" w:space="0" w:color="auto"/>
              <w:left w:val="double" w:sz="6" w:space="0" w:color="auto"/>
              <w:bottom w:val="single" w:sz="4" w:space="0" w:color="000000"/>
              <w:right w:val="double" w:sz="6" w:space="0" w:color="000000"/>
            </w:tcBorders>
            <w:shd w:val="clear" w:color="000000" w:fill="FFFFFF"/>
            <w:vAlign w:val="bottom"/>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Plan 2020.</w:t>
            </w:r>
          </w:p>
        </w:tc>
        <w:tc>
          <w:tcPr>
            <w:tcW w:w="8041" w:type="dxa"/>
            <w:gridSpan w:val="12"/>
            <w:tcBorders>
              <w:top w:val="double" w:sz="6" w:space="0" w:color="auto"/>
              <w:left w:val="nil"/>
              <w:bottom w:val="nil"/>
              <w:right w:val="double" w:sz="6" w:space="0" w:color="000000"/>
            </w:tcBorders>
            <w:shd w:val="clear" w:color="000000" w:fill="FFFFFF"/>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Projekcije</w:t>
            </w:r>
          </w:p>
        </w:tc>
      </w:tr>
      <w:tr w:rsidR="003072DF" w:rsidRPr="003072DF" w:rsidTr="003072DF">
        <w:trPr>
          <w:trHeight w:val="264"/>
        </w:trPr>
        <w:tc>
          <w:tcPr>
            <w:tcW w:w="1395" w:type="dxa"/>
            <w:vMerge/>
            <w:tcBorders>
              <w:top w:val="single" w:sz="4" w:space="0" w:color="auto"/>
              <w:left w:val="single" w:sz="4" w:space="0" w:color="auto"/>
              <w:bottom w:val="single" w:sz="4" w:space="0" w:color="000000"/>
              <w:right w:val="nil"/>
            </w:tcBorders>
            <w:vAlign w:val="center"/>
            <w:hideMark/>
          </w:tcPr>
          <w:p w:rsidR="003072DF" w:rsidRDefault="003072DF">
            <w:pPr>
              <w:rPr>
                <w:sz w:val="16"/>
                <w:szCs w:val="16"/>
              </w:rPr>
            </w:pPr>
          </w:p>
        </w:tc>
        <w:tc>
          <w:tcPr>
            <w:tcW w:w="2661" w:type="dxa"/>
            <w:gridSpan w:val="4"/>
            <w:vMerge/>
            <w:tcBorders>
              <w:top w:val="double" w:sz="6" w:space="0" w:color="auto"/>
              <w:left w:val="double" w:sz="6" w:space="0" w:color="auto"/>
              <w:bottom w:val="single" w:sz="4" w:space="0" w:color="000000"/>
              <w:right w:val="double" w:sz="6" w:space="0" w:color="000000"/>
            </w:tcBorders>
            <w:vAlign w:val="center"/>
            <w:hideMark/>
          </w:tcPr>
          <w:p w:rsidR="003072DF" w:rsidRPr="003072DF" w:rsidRDefault="003072DF">
            <w:pPr>
              <w:rPr>
                <w:rFonts w:ascii="Arial" w:hAnsi="Arial" w:cs="Arial"/>
                <w:b/>
                <w:bCs/>
                <w:sz w:val="12"/>
                <w:szCs w:val="12"/>
              </w:rPr>
            </w:pPr>
          </w:p>
        </w:tc>
        <w:tc>
          <w:tcPr>
            <w:tcW w:w="2902" w:type="dxa"/>
            <w:gridSpan w:val="4"/>
            <w:vMerge/>
            <w:tcBorders>
              <w:top w:val="double" w:sz="6" w:space="0" w:color="auto"/>
              <w:left w:val="double" w:sz="6" w:space="0" w:color="auto"/>
              <w:bottom w:val="single" w:sz="4" w:space="0" w:color="000000"/>
              <w:right w:val="double" w:sz="6" w:space="0" w:color="000000"/>
            </w:tcBorders>
            <w:vAlign w:val="center"/>
            <w:hideMark/>
          </w:tcPr>
          <w:p w:rsidR="003072DF" w:rsidRPr="003072DF" w:rsidRDefault="003072DF">
            <w:pPr>
              <w:rPr>
                <w:rFonts w:ascii="Arial" w:hAnsi="Arial" w:cs="Arial"/>
                <w:b/>
                <w:bCs/>
                <w:sz w:val="12"/>
                <w:szCs w:val="12"/>
              </w:rPr>
            </w:pPr>
          </w:p>
        </w:tc>
        <w:tc>
          <w:tcPr>
            <w:tcW w:w="2771" w:type="dxa"/>
            <w:gridSpan w:val="4"/>
            <w:tcBorders>
              <w:top w:val="single" w:sz="4" w:space="0" w:color="auto"/>
              <w:left w:val="nil"/>
              <w:bottom w:val="single" w:sz="4" w:space="0" w:color="auto"/>
              <w:right w:val="single" w:sz="4" w:space="0" w:color="000000"/>
            </w:tcBorders>
            <w:shd w:val="clear" w:color="000000" w:fill="FFFFFF"/>
            <w:vAlign w:val="bottom"/>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2021</w:t>
            </w:r>
          </w:p>
        </w:tc>
        <w:tc>
          <w:tcPr>
            <w:tcW w:w="2608" w:type="dxa"/>
            <w:gridSpan w:val="4"/>
            <w:tcBorders>
              <w:top w:val="single" w:sz="4" w:space="0" w:color="auto"/>
              <w:left w:val="nil"/>
              <w:bottom w:val="single" w:sz="4" w:space="0" w:color="auto"/>
              <w:right w:val="nil"/>
            </w:tcBorders>
            <w:shd w:val="clear" w:color="000000" w:fill="FFFFFF"/>
            <w:vAlign w:val="bottom"/>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2022</w:t>
            </w:r>
          </w:p>
        </w:tc>
        <w:tc>
          <w:tcPr>
            <w:tcW w:w="2662" w:type="dxa"/>
            <w:gridSpan w:val="4"/>
            <w:tcBorders>
              <w:top w:val="single" w:sz="4" w:space="0" w:color="auto"/>
              <w:left w:val="single" w:sz="4" w:space="0" w:color="auto"/>
              <w:bottom w:val="single" w:sz="4" w:space="0" w:color="auto"/>
              <w:right w:val="double" w:sz="6" w:space="0" w:color="000000"/>
            </w:tcBorders>
            <w:shd w:val="clear" w:color="000000" w:fill="FFFFFF"/>
            <w:vAlign w:val="bottom"/>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2023</w:t>
            </w:r>
          </w:p>
        </w:tc>
      </w:tr>
      <w:tr w:rsidR="003072DF" w:rsidRPr="003072DF" w:rsidTr="003072DF">
        <w:trPr>
          <w:trHeight w:val="408"/>
        </w:trPr>
        <w:tc>
          <w:tcPr>
            <w:tcW w:w="1395" w:type="dxa"/>
            <w:vMerge/>
            <w:tcBorders>
              <w:top w:val="single" w:sz="4" w:space="0" w:color="auto"/>
              <w:left w:val="single" w:sz="4" w:space="0" w:color="auto"/>
              <w:bottom w:val="single" w:sz="4" w:space="0" w:color="000000"/>
              <w:right w:val="nil"/>
            </w:tcBorders>
            <w:vAlign w:val="center"/>
            <w:hideMark/>
          </w:tcPr>
          <w:p w:rsidR="003072DF" w:rsidRDefault="003072DF">
            <w:pPr>
              <w:rPr>
                <w:sz w:val="16"/>
                <w:szCs w:val="16"/>
              </w:rPr>
            </w:pPr>
          </w:p>
        </w:tc>
        <w:tc>
          <w:tcPr>
            <w:tcW w:w="735" w:type="dxa"/>
            <w:tcBorders>
              <w:top w:val="nil"/>
              <w:left w:val="single" w:sz="4" w:space="0" w:color="auto"/>
              <w:bottom w:val="single" w:sz="4" w:space="0" w:color="auto"/>
              <w:right w:val="single" w:sz="4" w:space="0" w:color="auto"/>
            </w:tcBorders>
            <w:shd w:val="clear" w:color="000000" w:fill="FFFFFF"/>
            <w:hideMark/>
          </w:tcPr>
          <w:p w:rsidR="003072DF" w:rsidRPr="003072DF" w:rsidRDefault="003072DF">
            <w:pPr>
              <w:rPr>
                <w:rFonts w:ascii="Arial" w:hAnsi="Arial" w:cs="Arial"/>
                <w:b/>
                <w:bCs/>
                <w:sz w:val="12"/>
                <w:szCs w:val="12"/>
              </w:rPr>
            </w:pPr>
            <w:r w:rsidRPr="003072DF">
              <w:rPr>
                <w:rFonts w:ascii="Arial" w:hAnsi="Arial" w:cs="Arial"/>
                <w:b/>
                <w:bCs/>
                <w:sz w:val="12"/>
                <w:szCs w:val="12"/>
              </w:rPr>
              <w:t>Kanton-Izvor 10</w:t>
            </w:r>
          </w:p>
        </w:tc>
        <w:tc>
          <w:tcPr>
            <w:tcW w:w="613" w:type="dxa"/>
            <w:tcBorders>
              <w:top w:val="nil"/>
              <w:left w:val="nil"/>
              <w:bottom w:val="single" w:sz="4" w:space="0" w:color="auto"/>
              <w:right w:val="single" w:sz="4" w:space="0" w:color="auto"/>
            </w:tcBorders>
            <w:shd w:val="clear" w:color="000000" w:fill="FFFFFF"/>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O/G</w:t>
            </w:r>
          </w:p>
        </w:tc>
        <w:tc>
          <w:tcPr>
            <w:tcW w:w="650" w:type="dxa"/>
            <w:tcBorders>
              <w:top w:val="nil"/>
              <w:left w:val="nil"/>
              <w:bottom w:val="single" w:sz="4" w:space="0" w:color="auto"/>
              <w:right w:val="single" w:sz="4" w:space="0" w:color="auto"/>
            </w:tcBorders>
            <w:shd w:val="clear" w:color="000000" w:fill="FFFFFF"/>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VBF</w:t>
            </w:r>
          </w:p>
        </w:tc>
        <w:tc>
          <w:tcPr>
            <w:tcW w:w="663" w:type="dxa"/>
            <w:tcBorders>
              <w:top w:val="nil"/>
              <w:left w:val="nil"/>
              <w:bottom w:val="single" w:sz="4" w:space="0" w:color="auto"/>
              <w:right w:val="single" w:sz="4" w:space="0" w:color="auto"/>
            </w:tcBorders>
            <w:shd w:val="clear" w:color="000000" w:fill="FFFFFF"/>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Ukupno</w:t>
            </w:r>
          </w:p>
        </w:tc>
        <w:tc>
          <w:tcPr>
            <w:tcW w:w="703" w:type="dxa"/>
            <w:tcBorders>
              <w:top w:val="nil"/>
              <w:left w:val="nil"/>
              <w:bottom w:val="single" w:sz="4" w:space="0" w:color="auto"/>
              <w:right w:val="single" w:sz="4" w:space="0" w:color="auto"/>
            </w:tcBorders>
            <w:shd w:val="clear" w:color="000000" w:fill="FFFFFF"/>
            <w:hideMark/>
          </w:tcPr>
          <w:p w:rsidR="003072DF" w:rsidRPr="003072DF" w:rsidRDefault="003072DF">
            <w:pPr>
              <w:rPr>
                <w:rFonts w:ascii="Arial" w:hAnsi="Arial" w:cs="Arial"/>
                <w:b/>
                <w:bCs/>
                <w:sz w:val="12"/>
                <w:szCs w:val="12"/>
              </w:rPr>
            </w:pPr>
            <w:r w:rsidRPr="003072DF">
              <w:rPr>
                <w:rFonts w:ascii="Arial" w:hAnsi="Arial" w:cs="Arial"/>
                <w:b/>
                <w:bCs/>
                <w:sz w:val="12"/>
                <w:szCs w:val="12"/>
              </w:rPr>
              <w:t>Kanton-Izvor 10</w:t>
            </w:r>
          </w:p>
        </w:tc>
        <w:tc>
          <w:tcPr>
            <w:tcW w:w="742" w:type="dxa"/>
            <w:tcBorders>
              <w:top w:val="nil"/>
              <w:left w:val="nil"/>
              <w:bottom w:val="single" w:sz="4" w:space="0" w:color="auto"/>
              <w:right w:val="single" w:sz="4" w:space="0" w:color="auto"/>
            </w:tcBorders>
            <w:shd w:val="clear" w:color="000000" w:fill="FFFFFF"/>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O/G</w:t>
            </w:r>
          </w:p>
        </w:tc>
        <w:tc>
          <w:tcPr>
            <w:tcW w:w="690" w:type="dxa"/>
            <w:tcBorders>
              <w:top w:val="nil"/>
              <w:left w:val="nil"/>
              <w:bottom w:val="single" w:sz="4" w:space="0" w:color="auto"/>
              <w:right w:val="single" w:sz="4" w:space="0" w:color="auto"/>
            </w:tcBorders>
            <w:shd w:val="clear" w:color="000000" w:fill="FFFFFF"/>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VBF</w:t>
            </w:r>
          </w:p>
        </w:tc>
        <w:tc>
          <w:tcPr>
            <w:tcW w:w="767" w:type="dxa"/>
            <w:tcBorders>
              <w:top w:val="nil"/>
              <w:left w:val="nil"/>
              <w:bottom w:val="single" w:sz="4" w:space="0" w:color="auto"/>
              <w:right w:val="single" w:sz="4" w:space="0" w:color="auto"/>
            </w:tcBorders>
            <w:shd w:val="clear" w:color="000000" w:fill="FFFFFF"/>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Ukupno</w:t>
            </w:r>
          </w:p>
        </w:tc>
        <w:tc>
          <w:tcPr>
            <w:tcW w:w="670" w:type="dxa"/>
            <w:tcBorders>
              <w:top w:val="nil"/>
              <w:left w:val="nil"/>
              <w:bottom w:val="single" w:sz="4" w:space="0" w:color="auto"/>
              <w:right w:val="single" w:sz="4" w:space="0" w:color="auto"/>
            </w:tcBorders>
            <w:shd w:val="clear" w:color="000000" w:fill="FFFFFF"/>
            <w:hideMark/>
          </w:tcPr>
          <w:p w:rsidR="003072DF" w:rsidRPr="003072DF" w:rsidRDefault="003072DF">
            <w:pPr>
              <w:rPr>
                <w:rFonts w:ascii="Arial" w:hAnsi="Arial" w:cs="Arial"/>
                <w:b/>
                <w:bCs/>
                <w:sz w:val="12"/>
                <w:szCs w:val="12"/>
              </w:rPr>
            </w:pPr>
            <w:r w:rsidRPr="003072DF">
              <w:rPr>
                <w:rFonts w:ascii="Arial" w:hAnsi="Arial" w:cs="Arial"/>
                <w:b/>
                <w:bCs/>
                <w:sz w:val="12"/>
                <w:szCs w:val="12"/>
              </w:rPr>
              <w:t>Kanton-Izvor 10</w:t>
            </w:r>
          </w:p>
        </w:tc>
        <w:tc>
          <w:tcPr>
            <w:tcW w:w="656" w:type="dxa"/>
            <w:tcBorders>
              <w:top w:val="nil"/>
              <w:left w:val="nil"/>
              <w:bottom w:val="single" w:sz="4" w:space="0" w:color="auto"/>
              <w:right w:val="single" w:sz="4" w:space="0" w:color="auto"/>
            </w:tcBorders>
            <w:shd w:val="clear" w:color="000000" w:fill="FFFFFF"/>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O/G</w:t>
            </w:r>
          </w:p>
        </w:tc>
        <w:tc>
          <w:tcPr>
            <w:tcW w:w="675" w:type="dxa"/>
            <w:tcBorders>
              <w:top w:val="nil"/>
              <w:left w:val="nil"/>
              <w:bottom w:val="single" w:sz="4" w:space="0" w:color="auto"/>
              <w:right w:val="single" w:sz="4" w:space="0" w:color="auto"/>
            </w:tcBorders>
            <w:shd w:val="clear" w:color="000000" w:fill="FFFFFF"/>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VBF</w:t>
            </w:r>
          </w:p>
        </w:tc>
        <w:tc>
          <w:tcPr>
            <w:tcW w:w="770" w:type="dxa"/>
            <w:tcBorders>
              <w:top w:val="nil"/>
              <w:left w:val="nil"/>
              <w:bottom w:val="single" w:sz="4" w:space="0" w:color="auto"/>
              <w:right w:val="single" w:sz="4" w:space="0" w:color="auto"/>
            </w:tcBorders>
            <w:shd w:val="clear" w:color="000000" w:fill="FFFFFF"/>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Ukupno</w:t>
            </w:r>
          </w:p>
        </w:tc>
        <w:tc>
          <w:tcPr>
            <w:tcW w:w="678" w:type="dxa"/>
            <w:tcBorders>
              <w:top w:val="nil"/>
              <w:left w:val="nil"/>
              <w:bottom w:val="single" w:sz="4" w:space="0" w:color="auto"/>
              <w:right w:val="single" w:sz="4" w:space="0" w:color="auto"/>
            </w:tcBorders>
            <w:shd w:val="clear" w:color="000000" w:fill="FFFFFF"/>
            <w:hideMark/>
          </w:tcPr>
          <w:p w:rsidR="003072DF" w:rsidRPr="003072DF" w:rsidRDefault="003072DF">
            <w:pPr>
              <w:rPr>
                <w:rFonts w:ascii="Arial" w:hAnsi="Arial" w:cs="Arial"/>
                <w:b/>
                <w:bCs/>
                <w:sz w:val="12"/>
                <w:szCs w:val="12"/>
              </w:rPr>
            </w:pPr>
            <w:r w:rsidRPr="003072DF">
              <w:rPr>
                <w:rFonts w:ascii="Arial" w:hAnsi="Arial" w:cs="Arial"/>
                <w:b/>
                <w:bCs/>
                <w:sz w:val="12"/>
                <w:szCs w:val="12"/>
              </w:rPr>
              <w:t>Kanton-Izvor 10</w:t>
            </w:r>
          </w:p>
        </w:tc>
        <w:tc>
          <w:tcPr>
            <w:tcW w:w="584" w:type="dxa"/>
            <w:tcBorders>
              <w:top w:val="nil"/>
              <w:left w:val="nil"/>
              <w:bottom w:val="single" w:sz="4" w:space="0" w:color="auto"/>
              <w:right w:val="single" w:sz="4" w:space="0" w:color="auto"/>
            </w:tcBorders>
            <w:shd w:val="clear" w:color="000000" w:fill="FFFFFF"/>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O/G</w:t>
            </w:r>
          </w:p>
        </w:tc>
        <w:tc>
          <w:tcPr>
            <w:tcW w:w="655" w:type="dxa"/>
            <w:tcBorders>
              <w:top w:val="nil"/>
              <w:left w:val="nil"/>
              <w:bottom w:val="single" w:sz="4" w:space="0" w:color="auto"/>
              <w:right w:val="single" w:sz="4" w:space="0" w:color="auto"/>
            </w:tcBorders>
            <w:shd w:val="clear" w:color="000000" w:fill="FFFFFF"/>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VBF</w:t>
            </w:r>
          </w:p>
        </w:tc>
        <w:tc>
          <w:tcPr>
            <w:tcW w:w="691" w:type="dxa"/>
            <w:tcBorders>
              <w:top w:val="nil"/>
              <w:left w:val="nil"/>
              <w:bottom w:val="single" w:sz="4" w:space="0" w:color="auto"/>
              <w:right w:val="single" w:sz="4" w:space="0" w:color="auto"/>
            </w:tcBorders>
            <w:shd w:val="clear" w:color="000000" w:fill="FFFFFF"/>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Ukupno</w:t>
            </w:r>
          </w:p>
        </w:tc>
        <w:tc>
          <w:tcPr>
            <w:tcW w:w="744" w:type="dxa"/>
            <w:tcBorders>
              <w:top w:val="nil"/>
              <w:left w:val="nil"/>
              <w:bottom w:val="single" w:sz="4" w:space="0" w:color="auto"/>
              <w:right w:val="single" w:sz="4" w:space="0" w:color="auto"/>
            </w:tcBorders>
            <w:shd w:val="clear" w:color="000000" w:fill="FFFFFF"/>
            <w:hideMark/>
          </w:tcPr>
          <w:p w:rsidR="003072DF" w:rsidRPr="003072DF" w:rsidRDefault="003072DF">
            <w:pPr>
              <w:rPr>
                <w:rFonts w:ascii="Arial" w:hAnsi="Arial" w:cs="Arial"/>
                <w:b/>
                <w:bCs/>
                <w:sz w:val="12"/>
                <w:szCs w:val="12"/>
              </w:rPr>
            </w:pPr>
            <w:r w:rsidRPr="003072DF">
              <w:rPr>
                <w:rFonts w:ascii="Arial" w:hAnsi="Arial" w:cs="Arial"/>
                <w:b/>
                <w:bCs/>
                <w:sz w:val="12"/>
                <w:szCs w:val="12"/>
              </w:rPr>
              <w:t>Kanton-Izvor 10</w:t>
            </w:r>
          </w:p>
        </w:tc>
        <w:tc>
          <w:tcPr>
            <w:tcW w:w="584" w:type="dxa"/>
            <w:tcBorders>
              <w:top w:val="nil"/>
              <w:left w:val="nil"/>
              <w:bottom w:val="single" w:sz="4" w:space="0" w:color="auto"/>
              <w:right w:val="single" w:sz="4" w:space="0" w:color="auto"/>
            </w:tcBorders>
            <w:shd w:val="clear" w:color="000000" w:fill="FFFFFF"/>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O/G</w:t>
            </w:r>
          </w:p>
        </w:tc>
        <w:tc>
          <w:tcPr>
            <w:tcW w:w="671" w:type="dxa"/>
            <w:tcBorders>
              <w:top w:val="nil"/>
              <w:left w:val="nil"/>
              <w:bottom w:val="single" w:sz="4" w:space="0" w:color="auto"/>
              <w:right w:val="single" w:sz="4" w:space="0" w:color="auto"/>
            </w:tcBorders>
            <w:shd w:val="clear" w:color="000000" w:fill="FFFFFF"/>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VBF</w:t>
            </w:r>
          </w:p>
        </w:tc>
        <w:tc>
          <w:tcPr>
            <w:tcW w:w="663" w:type="dxa"/>
            <w:tcBorders>
              <w:top w:val="nil"/>
              <w:left w:val="nil"/>
              <w:bottom w:val="single" w:sz="4" w:space="0" w:color="auto"/>
              <w:right w:val="single" w:sz="4" w:space="0" w:color="auto"/>
            </w:tcBorders>
            <w:shd w:val="clear" w:color="000000" w:fill="FFFFFF"/>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Ukupno</w:t>
            </w:r>
          </w:p>
        </w:tc>
      </w:tr>
      <w:tr w:rsidR="003072DF" w:rsidRPr="003072DF" w:rsidTr="003072DF">
        <w:trPr>
          <w:trHeight w:val="480"/>
        </w:trPr>
        <w:tc>
          <w:tcPr>
            <w:tcW w:w="1395" w:type="dxa"/>
            <w:tcBorders>
              <w:top w:val="nil"/>
              <w:left w:val="single" w:sz="4" w:space="0" w:color="auto"/>
              <w:bottom w:val="single" w:sz="4" w:space="0" w:color="auto"/>
              <w:right w:val="nil"/>
            </w:tcBorders>
            <w:shd w:val="clear" w:color="000000" w:fill="D9D9D9"/>
            <w:hideMark/>
          </w:tcPr>
          <w:p w:rsidR="003072DF" w:rsidRDefault="003072DF">
            <w:pPr>
              <w:jc w:val="center"/>
              <w:rPr>
                <w:b/>
                <w:bCs/>
                <w:sz w:val="16"/>
                <w:szCs w:val="16"/>
              </w:rPr>
            </w:pPr>
            <w:r>
              <w:rPr>
                <w:b/>
                <w:bCs/>
                <w:sz w:val="16"/>
                <w:szCs w:val="16"/>
              </w:rPr>
              <w:t>Ukupno rashodi</w:t>
            </w:r>
          </w:p>
        </w:tc>
        <w:tc>
          <w:tcPr>
            <w:tcW w:w="735" w:type="dxa"/>
            <w:tcBorders>
              <w:top w:val="nil"/>
              <w:left w:val="single" w:sz="4" w:space="0" w:color="auto"/>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191,355</w:t>
            </w:r>
          </w:p>
        </w:tc>
        <w:tc>
          <w:tcPr>
            <w:tcW w:w="613"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68,088</w:t>
            </w:r>
          </w:p>
        </w:tc>
        <w:tc>
          <w:tcPr>
            <w:tcW w:w="650"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124,433</w:t>
            </w:r>
          </w:p>
        </w:tc>
        <w:tc>
          <w:tcPr>
            <w:tcW w:w="663"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383,876</w:t>
            </w:r>
          </w:p>
        </w:tc>
        <w:tc>
          <w:tcPr>
            <w:tcW w:w="703"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202,118</w:t>
            </w:r>
          </w:p>
        </w:tc>
        <w:tc>
          <w:tcPr>
            <w:tcW w:w="742"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84,594</w:t>
            </w:r>
          </w:p>
        </w:tc>
        <w:tc>
          <w:tcPr>
            <w:tcW w:w="690"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121,768</w:t>
            </w:r>
          </w:p>
        </w:tc>
        <w:tc>
          <w:tcPr>
            <w:tcW w:w="767"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408,480</w:t>
            </w:r>
          </w:p>
        </w:tc>
        <w:tc>
          <w:tcPr>
            <w:tcW w:w="670"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193,133</w:t>
            </w:r>
          </w:p>
        </w:tc>
        <w:tc>
          <w:tcPr>
            <w:tcW w:w="656"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72,346</w:t>
            </w:r>
          </w:p>
        </w:tc>
        <w:tc>
          <w:tcPr>
            <w:tcW w:w="675"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107,982</w:t>
            </w:r>
          </w:p>
        </w:tc>
        <w:tc>
          <w:tcPr>
            <w:tcW w:w="770"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373,461</w:t>
            </w:r>
          </w:p>
        </w:tc>
        <w:tc>
          <w:tcPr>
            <w:tcW w:w="678"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197,307</w:t>
            </w:r>
          </w:p>
        </w:tc>
        <w:tc>
          <w:tcPr>
            <w:tcW w:w="584"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72,816</w:t>
            </w:r>
          </w:p>
        </w:tc>
        <w:tc>
          <w:tcPr>
            <w:tcW w:w="655"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115,464</w:t>
            </w:r>
          </w:p>
        </w:tc>
        <w:tc>
          <w:tcPr>
            <w:tcW w:w="691"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385,587</w:t>
            </w:r>
          </w:p>
        </w:tc>
        <w:tc>
          <w:tcPr>
            <w:tcW w:w="744"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205,328</w:t>
            </w:r>
          </w:p>
        </w:tc>
        <w:tc>
          <w:tcPr>
            <w:tcW w:w="584"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75,081</w:t>
            </w:r>
          </w:p>
        </w:tc>
        <w:tc>
          <w:tcPr>
            <w:tcW w:w="671"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111,948</w:t>
            </w:r>
          </w:p>
        </w:tc>
        <w:tc>
          <w:tcPr>
            <w:tcW w:w="663" w:type="dxa"/>
            <w:tcBorders>
              <w:top w:val="nil"/>
              <w:left w:val="nil"/>
              <w:bottom w:val="single" w:sz="4" w:space="0" w:color="auto"/>
              <w:right w:val="single" w:sz="4" w:space="0" w:color="auto"/>
            </w:tcBorders>
            <w:shd w:val="clear" w:color="000000" w:fill="D9D9D9"/>
            <w:hideMark/>
          </w:tcPr>
          <w:p w:rsidR="003072DF" w:rsidRPr="003072DF" w:rsidRDefault="003072DF">
            <w:pPr>
              <w:jc w:val="center"/>
              <w:rPr>
                <w:rFonts w:ascii="Arial" w:hAnsi="Arial" w:cs="Arial"/>
                <w:b/>
                <w:bCs/>
                <w:sz w:val="12"/>
                <w:szCs w:val="12"/>
              </w:rPr>
            </w:pPr>
            <w:r w:rsidRPr="003072DF">
              <w:rPr>
                <w:rFonts w:ascii="Arial" w:hAnsi="Arial" w:cs="Arial"/>
                <w:b/>
                <w:bCs/>
                <w:sz w:val="12"/>
                <w:szCs w:val="12"/>
              </w:rPr>
              <w:t>392,357</w:t>
            </w:r>
          </w:p>
        </w:tc>
      </w:tr>
      <w:tr w:rsidR="003072DF" w:rsidRPr="003072DF" w:rsidTr="003072DF">
        <w:trPr>
          <w:trHeight w:val="420"/>
        </w:trPr>
        <w:tc>
          <w:tcPr>
            <w:tcW w:w="1395" w:type="dxa"/>
            <w:tcBorders>
              <w:top w:val="nil"/>
              <w:left w:val="single" w:sz="4" w:space="0" w:color="auto"/>
              <w:bottom w:val="single" w:sz="4" w:space="0" w:color="auto"/>
              <w:right w:val="nil"/>
            </w:tcBorders>
            <w:shd w:val="clear" w:color="auto" w:fill="auto"/>
            <w:vAlign w:val="bottom"/>
            <w:hideMark/>
          </w:tcPr>
          <w:p w:rsidR="003072DF" w:rsidRDefault="003072DF">
            <w:pPr>
              <w:jc w:val="center"/>
              <w:rPr>
                <w:rFonts w:ascii="Arial" w:hAnsi="Arial" w:cs="Arial"/>
                <w:b/>
                <w:bCs/>
                <w:sz w:val="16"/>
                <w:szCs w:val="16"/>
              </w:rPr>
            </w:pPr>
            <w:r>
              <w:rPr>
                <w:rFonts w:ascii="Arial" w:hAnsi="Arial" w:cs="Arial"/>
                <w:b/>
                <w:bCs/>
                <w:sz w:val="16"/>
                <w:szCs w:val="16"/>
              </w:rPr>
              <w:t>Place i nakanade zaposlenih</w:t>
            </w:r>
          </w:p>
        </w:tc>
        <w:tc>
          <w:tcPr>
            <w:tcW w:w="735" w:type="dxa"/>
            <w:tcBorders>
              <w:top w:val="nil"/>
              <w:left w:val="single" w:sz="4" w:space="0" w:color="auto"/>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141,586</w:t>
            </w:r>
          </w:p>
        </w:tc>
        <w:tc>
          <w:tcPr>
            <w:tcW w:w="613"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28,501</w:t>
            </w:r>
          </w:p>
        </w:tc>
        <w:tc>
          <w:tcPr>
            <w:tcW w:w="650"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b/>
                <w:bCs/>
                <w:sz w:val="12"/>
                <w:szCs w:val="12"/>
              </w:rPr>
            </w:pPr>
            <w:r w:rsidRPr="003072DF">
              <w:rPr>
                <w:b/>
                <w:bCs/>
                <w:sz w:val="12"/>
                <w:szCs w:val="12"/>
              </w:rPr>
              <w:t>7,499</w:t>
            </w:r>
          </w:p>
        </w:tc>
        <w:tc>
          <w:tcPr>
            <w:tcW w:w="663"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b/>
                <w:bCs/>
                <w:sz w:val="12"/>
                <w:szCs w:val="12"/>
              </w:rPr>
            </w:pPr>
            <w:r w:rsidRPr="003072DF">
              <w:rPr>
                <w:b/>
                <w:bCs/>
                <w:sz w:val="12"/>
                <w:szCs w:val="12"/>
              </w:rPr>
              <w:t>177,586</w:t>
            </w:r>
          </w:p>
        </w:tc>
        <w:tc>
          <w:tcPr>
            <w:tcW w:w="703"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b/>
                <w:bCs/>
                <w:sz w:val="12"/>
                <w:szCs w:val="12"/>
              </w:rPr>
            </w:pPr>
            <w:r w:rsidRPr="003072DF">
              <w:rPr>
                <w:b/>
                <w:bCs/>
                <w:sz w:val="12"/>
                <w:szCs w:val="12"/>
              </w:rPr>
              <w:t>146,882</w:t>
            </w:r>
          </w:p>
        </w:tc>
        <w:tc>
          <w:tcPr>
            <w:tcW w:w="742"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b/>
                <w:bCs/>
                <w:sz w:val="12"/>
                <w:szCs w:val="12"/>
              </w:rPr>
            </w:pPr>
            <w:r w:rsidRPr="003072DF">
              <w:rPr>
                <w:b/>
                <w:bCs/>
                <w:sz w:val="12"/>
                <w:szCs w:val="12"/>
              </w:rPr>
              <w:t>32,969</w:t>
            </w:r>
          </w:p>
        </w:tc>
        <w:tc>
          <w:tcPr>
            <w:tcW w:w="690"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b/>
                <w:bCs/>
                <w:sz w:val="12"/>
                <w:szCs w:val="12"/>
              </w:rPr>
            </w:pPr>
            <w:r w:rsidRPr="003072DF">
              <w:rPr>
                <w:b/>
                <w:bCs/>
                <w:sz w:val="12"/>
                <w:szCs w:val="12"/>
              </w:rPr>
              <w:t>8,700</w:t>
            </w:r>
          </w:p>
        </w:tc>
        <w:tc>
          <w:tcPr>
            <w:tcW w:w="767"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b/>
                <w:bCs/>
                <w:sz w:val="12"/>
                <w:szCs w:val="12"/>
              </w:rPr>
            </w:pPr>
            <w:r w:rsidRPr="003072DF">
              <w:rPr>
                <w:b/>
                <w:bCs/>
                <w:sz w:val="12"/>
                <w:szCs w:val="12"/>
              </w:rPr>
              <w:t>188,551</w:t>
            </w:r>
          </w:p>
        </w:tc>
        <w:tc>
          <w:tcPr>
            <w:tcW w:w="6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144,359</w:t>
            </w:r>
          </w:p>
        </w:tc>
        <w:tc>
          <w:tcPr>
            <w:tcW w:w="656"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32,797</w:t>
            </w:r>
          </w:p>
        </w:tc>
        <w:tc>
          <w:tcPr>
            <w:tcW w:w="675"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8,391</w:t>
            </w:r>
          </w:p>
        </w:tc>
        <w:tc>
          <w:tcPr>
            <w:tcW w:w="770"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b/>
                <w:bCs/>
                <w:sz w:val="12"/>
                <w:szCs w:val="12"/>
              </w:rPr>
            </w:pPr>
            <w:r w:rsidRPr="003072DF">
              <w:rPr>
                <w:b/>
                <w:bCs/>
                <w:sz w:val="12"/>
                <w:szCs w:val="12"/>
              </w:rPr>
              <w:t>185,547</w:t>
            </w:r>
          </w:p>
        </w:tc>
        <w:tc>
          <w:tcPr>
            <w:tcW w:w="678"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145,383</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32,628</w:t>
            </w:r>
          </w:p>
        </w:tc>
        <w:tc>
          <w:tcPr>
            <w:tcW w:w="655"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8,515</w:t>
            </w:r>
          </w:p>
        </w:tc>
        <w:tc>
          <w:tcPr>
            <w:tcW w:w="691"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b/>
                <w:bCs/>
                <w:sz w:val="12"/>
                <w:szCs w:val="12"/>
              </w:rPr>
            </w:pPr>
            <w:r w:rsidRPr="003072DF">
              <w:rPr>
                <w:b/>
                <w:bCs/>
                <w:sz w:val="12"/>
                <w:szCs w:val="12"/>
              </w:rPr>
              <w:t>186,526</w:t>
            </w:r>
          </w:p>
        </w:tc>
        <w:tc>
          <w:tcPr>
            <w:tcW w:w="744"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148,200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32,888</w:t>
            </w:r>
          </w:p>
        </w:tc>
        <w:tc>
          <w:tcPr>
            <w:tcW w:w="671"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8,636</w:t>
            </w:r>
          </w:p>
        </w:tc>
        <w:tc>
          <w:tcPr>
            <w:tcW w:w="663"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b/>
                <w:bCs/>
                <w:sz w:val="12"/>
                <w:szCs w:val="12"/>
              </w:rPr>
            </w:pPr>
            <w:r w:rsidRPr="003072DF">
              <w:rPr>
                <w:b/>
                <w:bCs/>
                <w:sz w:val="12"/>
                <w:szCs w:val="12"/>
              </w:rPr>
              <w:t>189,724</w:t>
            </w:r>
          </w:p>
        </w:tc>
      </w:tr>
      <w:tr w:rsidR="003072DF" w:rsidRPr="003072DF" w:rsidTr="003072DF">
        <w:trPr>
          <w:trHeight w:val="264"/>
        </w:trPr>
        <w:tc>
          <w:tcPr>
            <w:tcW w:w="1395" w:type="dxa"/>
            <w:tcBorders>
              <w:top w:val="nil"/>
              <w:left w:val="single" w:sz="4" w:space="0" w:color="auto"/>
              <w:bottom w:val="single" w:sz="4" w:space="0" w:color="auto"/>
              <w:right w:val="nil"/>
            </w:tcBorders>
            <w:shd w:val="clear" w:color="auto" w:fill="auto"/>
            <w:vAlign w:val="bottom"/>
            <w:hideMark/>
          </w:tcPr>
          <w:p w:rsidR="003072DF" w:rsidRDefault="003072DF">
            <w:pPr>
              <w:jc w:val="center"/>
              <w:rPr>
                <w:rFonts w:ascii="Arial" w:hAnsi="Arial" w:cs="Arial"/>
                <w:sz w:val="16"/>
                <w:szCs w:val="16"/>
              </w:rPr>
            </w:pPr>
            <w:r>
              <w:rPr>
                <w:rFonts w:ascii="Arial" w:hAnsi="Arial" w:cs="Arial"/>
                <w:sz w:val="16"/>
                <w:szCs w:val="16"/>
              </w:rPr>
              <w:t>Bruto plaće</w:t>
            </w:r>
          </w:p>
        </w:tc>
        <w:tc>
          <w:tcPr>
            <w:tcW w:w="735" w:type="dxa"/>
            <w:tcBorders>
              <w:top w:val="nil"/>
              <w:left w:val="single" w:sz="4" w:space="0" w:color="auto"/>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113,708</w:t>
            </w:r>
          </w:p>
        </w:tc>
        <w:tc>
          <w:tcPr>
            <w:tcW w:w="61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22,817</w:t>
            </w:r>
          </w:p>
        </w:tc>
        <w:tc>
          <w:tcPr>
            <w:tcW w:w="65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6,032</w:t>
            </w:r>
          </w:p>
        </w:tc>
        <w:tc>
          <w:tcPr>
            <w:tcW w:w="663"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142,557</w:t>
            </w:r>
          </w:p>
        </w:tc>
        <w:tc>
          <w:tcPr>
            <w:tcW w:w="70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117,493</w:t>
            </w:r>
          </w:p>
        </w:tc>
        <w:tc>
          <w:tcPr>
            <w:tcW w:w="742"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26,059</w:t>
            </w:r>
          </w:p>
        </w:tc>
        <w:tc>
          <w:tcPr>
            <w:tcW w:w="69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6,870</w:t>
            </w:r>
          </w:p>
        </w:tc>
        <w:tc>
          <w:tcPr>
            <w:tcW w:w="767"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150,422</w:t>
            </w:r>
          </w:p>
        </w:tc>
        <w:tc>
          <w:tcPr>
            <w:tcW w:w="6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115,105</w:t>
            </w:r>
          </w:p>
        </w:tc>
        <w:tc>
          <w:tcPr>
            <w:tcW w:w="656"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26,004</w:t>
            </w:r>
          </w:p>
        </w:tc>
        <w:tc>
          <w:tcPr>
            <w:tcW w:w="67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6,601</w:t>
            </w:r>
          </w:p>
        </w:tc>
        <w:tc>
          <w:tcPr>
            <w:tcW w:w="770"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147,710</w:t>
            </w:r>
          </w:p>
        </w:tc>
        <w:tc>
          <w:tcPr>
            <w:tcW w:w="678"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116,123</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25,810</w:t>
            </w:r>
          </w:p>
        </w:tc>
        <w:tc>
          <w:tcPr>
            <w:tcW w:w="65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6,702</w:t>
            </w:r>
          </w:p>
        </w:tc>
        <w:tc>
          <w:tcPr>
            <w:tcW w:w="691"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148,635</w:t>
            </w:r>
          </w:p>
        </w:tc>
        <w:tc>
          <w:tcPr>
            <w:tcW w:w="74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118,200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26,009</w:t>
            </w:r>
          </w:p>
        </w:tc>
        <w:tc>
          <w:tcPr>
            <w:tcW w:w="67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6,800</w:t>
            </w:r>
          </w:p>
        </w:tc>
        <w:tc>
          <w:tcPr>
            <w:tcW w:w="663"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151,009</w:t>
            </w:r>
          </w:p>
        </w:tc>
      </w:tr>
      <w:tr w:rsidR="003072DF" w:rsidRPr="003072DF" w:rsidTr="003072DF">
        <w:trPr>
          <w:trHeight w:val="264"/>
        </w:trPr>
        <w:tc>
          <w:tcPr>
            <w:tcW w:w="1395" w:type="dxa"/>
            <w:tcBorders>
              <w:top w:val="nil"/>
              <w:left w:val="single" w:sz="4" w:space="0" w:color="auto"/>
              <w:bottom w:val="single" w:sz="4" w:space="0" w:color="auto"/>
              <w:right w:val="nil"/>
            </w:tcBorders>
            <w:shd w:val="clear" w:color="auto" w:fill="auto"/>
            <w:vAlign w:val="bottom"/>
            <w:hideMark/>
          </w:tcPr>
          <w:p w:rsidR="003072DF" w:rsidRDefault="003072DF">
            <w:pPr>
              <w:jc w:val="center"/>
              <w:rPr>
                <w:rFonts w:ascii="Arial" w:hAnsi="Arial" w:cs="Arial"/>
                <w:sz w:val="16"/>
                <w:szCs w:val="16"/>
              </w:rPr>
            </w:pPr>
            <w:r>
              <w:rPr>
                <w:rFonts w:ascii="Arial" w:hAnsi="Arial" w:cs="Arial"/>
                <w:sz w:val="16"/>
                <w:szCs w:val="16"/>
              </w:rPr>
              <w:t>Naknade</w:t>
            </w:r>
          </w:p>
        </w:tc>
        <w:tc>
          <w:tcPr>
            <w:tcW w:w="735" w:type="dxa"/>
            <w:tcBorders>
              <w:top w:val="nil"/>
              <w:left w:val="single" w:sz="4" w:space="0" w:color="auto"/>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14,555</w:t>
            </w:r>
          </w:p>
        </w:tc>
        <w:tc>
          <w:tcPr>
            <w:tcW w:w="61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3,174</w:t>
            </w:r>
          </w:p>
        </w:tc>
        <w:tc>
          <w:tcPr>
            <w:tcW w:w="65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0,644</w:t>
            </w:r>
          </w:p>
        </w:tc>
        <w:tc>
          <w:tcPr>
            <w:tcW w:w="663"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18,373</w:t>
            </w:r>
          </w:p>
        </w:tc>
        <w:tc>
          <w:tcPr>
            <w:tcW w:w="70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15,817</w:t>
            </w:r>
          </w:p>
        </w:tc>
        <w:tc>
          <w:tcPr>
            <w:tcW w:w="742"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3,977</w:t>
            </w:r>
          </w:p>
        </w:tc>
        <w:tc>
          <w:tcPr>
            <w:tcW w:w="69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0,903</w:t>
            </w:r>
          </w:p>
        </w:tc>
        <w:tc>
          <w:tcPr>
            <w:tcW w:w="767"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20,697</w:t>
            </w:r>
          </w:p>
        </w:tc>
        <w:tc>
          <w:tcPr>
            <w:tcW w:w="6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15,900</w:t>
            </w:r>
          </w:p>
        </w:tc>
        <w:tc>
          <w:tcPr>
            <w:tcW w:w="656"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3,860</w:t>
            </w:r>
          </w:p>
        </w:tc>
        <w:tc>
          <w:tcPr>
            <w:tcW w:w="67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0,887</w:t>
            </w:r>
          </w:p>
        </w:tc>
        <w:tc>
          <w:tcPr>
            <w:tcW w:w="770"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20,647</w:t>
            </w:r>
          </w:p>
        </w:tc>
        <w:tc>
          <w:tcPr>
            <w:tcW w:w="678"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15,900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3,892</w:t>
            </w:r>
          </w:p>
        </w:tc>
        <w:tc>
          <w:tcPr>
            <w:tcW w:w="65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0,898</w:t>
            </w:r>
          </w:p>
        </w:tc>
        <w:tc>
          <w:tcPr>
            <w:tcW w:w="691"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20,690</w:t>
            </w:r>
          </w:p>
        </w:tc>
        <w:tc>
          <w:tcPr>
            <w:tcW w:w="74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16,100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3,920</w:t>
            </w:r>
          </w:p>
        </w:tc>
        <w:tc>
          <w:tcPr>
            <w:tcW w:w="67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0,910</w:t>
            </w:r>
          </w:p>
        </w:tc>
        <w:tc>
          <w:tcPr>
            <w:tcW w:w="663"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20,930</w:t>
            </w:r>
          </w:p>
        </w:tc>
      </w:tr>
      <w:tr w:rsidR="003072DF" w:rsidRPr="003072DF" w:rsidTr="003072DF">
        <w:trPr>
          <w:trHeight w:val="264"/>
        </w:trPr>
        <w:tc>
          <w:tcPr>
            <w:tcW w:w="1395" w:type="dxa"/>
            <w:tcBorders>
              <w:top w:val="nil"/>
              <w:left w:val="single" w:sz="4" w:space="0" w:color="auto"/>
              <w:bottom w:val="single" w:sz="4" w:space="0" w:color="auto"/>
              <w:right w:val="nil"/>
            </w:tcBorders>
            <w:shd w:val="clear" w:color="auto" w:fill="auto"/>
            <w:vAlign w:val="bottom"/>
            <w:hideMark/>
          </w:tcPr>
          <w:p w:rsidR="003072DF" w:rsidRDefault="003072DF">
            <w:pPr>
              <w:jc w:val="center"/>
              <w:rPr>
                <w:rFonts w:ascii="Arial" w:hAnsi="Arial" w:cs="Arial"/>
                <w:sz w:val="16"/>
                <w:szCs w:val="16"/>
              </w:rPr>
            </w:pPr>
            <w:r>
              <w:rPr>
                <w:rFonts w:ascii="Arial" w:hAnsi="Arial" w:cs="Arial"/>
                <w:sz w:val="16"/>
                <w:szCs w:val="16"/>
              </w:rPr>
              <w:t>Doprinosi</w:t>
            </w:r>
          </w:p>
        </w:tc>
        <w:tc>
          <w:tcPr>
            <w:tcW w:w="735" w:type="dxa"/>
            <w:tcBorders>
              <w:top w:val="nil"/>
              <w:left w:val="single" w:sz="4" w:space="0" w:color="auto"/>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13,323</w:t>
            </w:r>
          </w:p>
        </w:tc>
        <w:tc>
          <w:tcPr>
            <w:tcW w:w="61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2,510</w:t>
            </w:r>
          </w:p>
        </w:tc>
        <w:tc>
          <w:tcPr>
            <w:tcW w:w="65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0,823</w:t>
            </w:r>
          </w:p>
        </w:tc>
        <w:tc>
          <w:tcPr>
            <w:tcW w:w="663"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16,656</w:t>
            </w:r>
          </w:p>
        </w:tc>
        <w:tc>
          <w:tcPr>
            <w:tcW w:w="70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13,572</w:t>
            </w:r>
          </w:p>
        </w:tc>
        <w:tc>
          <w:tcPr>
            <w:tcW w:w="742"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2,933</w:t>
            </w:r>
          </w:p>
        </w:tc>
        <w:tc>
          <w:tcPr>
            <w:tcW w:w="69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0,927</w:t>
            </w:r>
          </w:p>
        </w:tc>
        <w:tc>
          <w:tcPr>
            <w:tcW w:w="767"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17,432</w:t>
            </w:r>
          </w:p>
        </w:tc>
        <w:tc>
          <w:tcPr>
            <w:tcW w:w="6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13,354</w:t>
            </w:r>
          </w:p>
        </w:tc>
        <w:tc>
          <w:tcPr>
            <w:tcW w:w="656"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2,933</w:t>
            </w:r>
          </w:p>
        </w:tc>
        <w:tc>
          <w:tcPr>
            <w:tcW w:w="67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0,903</w:t>
            </w:r>
          </w:p>
        </w:tc>
        <w:tc>
          <w:tcPr>
            <w:tcW w:w="770"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17,190</w:t>
            </w:r>
          </w:p>
        </w:tc>
        <w:tc>
          <w:tcPr>
            <w:tcW w:w="678"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13,360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2,926</w:t>
            </w:r>
          </w:p>
        </w:tc>
        <w:tc>
          <w:tcPr>
            <w:tcW w:w="65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0,915</w:t>
            </w:r>
          </w:p>
        </w:tc>
        <w:tc>
          <w:tcPr>
            <w:tcW w:w="691"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17,201</w:t>
            </w:r>
          </w:p>
        </w:tc>
        <w:tc>
          <w:tcPr>
            <w:tcW w:w="74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13,900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2,959</w:t>
            </w:r>
          </w:p>
        </w:tc>
        <w:tc>
          <w:tcPr>
            <w:tcW w:w="67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0,926</w:t>
            </w:r>
          </w:p>
        </w:tc>
        <w:tc>
          <w:tcPr>
            <w:tcW w:w="663"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17,785</w:t>
            </w:r>
          </w:p>
        </w:tc>
      </w:tr>
      <w:tr w:rsidR="003072DF" w:rsidRPr="003072DF" w:rsidTr="003072DF">
        <w:trPr>
          <w:trHeight w:val="420"/>
        </w:trPr>
        <w:tc>
          <w:tcPr>
            <w:tcW w:w="1395" w:type="dxa"/>
            <w:tcBorders>
              <w:top w:val="nil"/>
              <w:left w:val="single" w:sz="4" w:space="0" w:color="auto"/>
              <w:bottom w:val="single" w:sz="4" w:space="0" w:color="auto"/>
              <w:right w:val="nil"/>
            </w:tcBorders>
            <w:shd w:val="clear" w:color="auto" w:fill="auto"/>
            <w:vAlign w:val="bottom"/>
            <w:hideMark/>
          </w:tcPr>
          <w:p w:rsidR="003072DF" w:rsidRDefault="003072DF">
            <w:pPr>
              <w:jc w:val="center"/>
              <w:rPr>
                <w:rFonts w:ascii="Arial" w:hAnsi="Arial" w:cs="Arial"/>
                <w:b/>
                <w:bCs/>
                <w:sz w:val="16"/>
                <w:szCs w:val="16"/>
              </w:rPr>
            </w:pPr>
            <w:r>
              <w:rPr>
                <w:rFonts w:ascii="Arial" w:hAnsi="Arial" w:cs="Arial"/>
                <w:b/>
                <w:bCs/>
                <w:sz w:val="16"/>
                <w:szCs w:val="16"/>
              </w:rPr>
              <w:t>MATERIJALNI TROŠKOVI</w:t>
            </w:r>
          </w:p>
        </w:tc>
        <w:tc>
          <w:tcPr>
            <w:tcW w:w="735" w:type="dxa"/>
            <w:tcBorders>
              <w:top w:val="nil"/>
              <w:left w:val="single" w:sz="4" w:space="0" w:color="auto"/>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14,757</w:t>
            </w:r>
          </w:p>
        </w:tc>
        <w:tc>
          <w:tcPr>
            <w:tcW w:w="61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15,322</w:t>
            </w:r>
          </w:p>
        </w:tc>
        <w:tc>
          <w:tcPr>
            <w:tcW w:w="65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98,201</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128,280</w:t>
            </w:r>
          </w:p>
        </w:tc>
        <w:tc>
          <w:tcPr>
            <w:tcW w:w="70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13,494</w:t>
            </w:r>
          </w:p>
        </w:tc>
        <w:tc>
          <w:tcPr>
            <w:tcW w:w="742"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21,897</w:t>
            </w:r>
          </w:p>
        </w:tc>
        <w:tc>
          <w:tcPr>
            <w:tcW w:w="69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97,459</w:t>
            </w:r>
          </w:p>
        </w:tc>
        <w:tc>
          <w:tcPr>
            <w:tcW w:w="767"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132,850</w:t>
            </w:r>
          </w:p>
        </w:tc>
        <w:tc>
          <w:tcPr>
            <w:tcW w:w="6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13,674</w:t>
            </w:r>
          </w:p>
        </w:tc>
        <w:tc>
          <w:tcPr>
            <w:tcW w:w="656"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17,739</w:t>
            </w:r>
          </w:p>
        </w:tc>
        <w:tc>
          <w:tcPr>
            <w:tcW w:w="67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86,156</w:t>
            </w:r>
          </w:p>
        </w:tc>
        <w:tc>
          <w:tcPr>
            <w:tcW w:w="7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117,569</w:t>
            </w:r>
          </w:p>
        </w:tc>
        <w:tc>
          <w:tcPr>
            <w:tcW w:w="678"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13,924</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17,867</w:t>
            </w:r>
          </w:p>
        </w:tc>
        <w:tc>
          <w:tcPr>
            <w:tcW w:w="65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93,697</w:t>
            </w:r>
          </w:p>
        </w:tc>
        <w:tc>
          <w:tcPr>
            <w:tcW w:w="69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125,488</w:t>
            </w:r>
          </w:p>
        </w:tc>
        <w:tc>
          <w:tcPr>
            <w:tcW w:w="74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14,200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18,149</w:t>
            </w:r>
          </w:p>
        </w:tc>
        <w:tc>
          <w:tcPr>
            <w:tcW w:w="67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90,181</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122,530</w:t>
            </w:r>
          </w:p>
        </w:tc>
      </w:tr>
      <w:tr w:rsidR="003072DF" w:rsidRPr="003072DF" w:rsidTr="003072DF">
        <w:trPr>
          <w:trHeight w:val="420"/>
        </w:trPr>
        <w:tc>
          <w:tcPr>
            <w:tcW w:w="1395" w:type="dxa"/>
            <w:tcBorders>
              <w:top w:val="nil"/>
              <w:left w:val="single" w:sz="4" w:space="0" w:color="auto"/>
              <w:bottom w:val="single" w:sz="4" w:space="0" w:color="auto"/>
              <w:right w:val="nil"/>
            </w:tcBorders>
            <w:shd w:val="clear" w:color="auto" w:fill="auto"/>
            <w:vAlign w:val="bottom"/>
            <w:hideMark/>
          </w:tcPr>
          <w:p w:rsidR="003072DF" w:rsidRDefault="003072DF">
            <w:pPr>
              <w:jc w:val="center"/>
              <w:rPr>
                <w:rFonts w:ascii="Arial" w:hAnsi="Arial" w:cs="Arial"/>
                <w:b/>
                <w:bCs/>
                <w:sz w:val="16"/>
                <w:szCs w:val="16"/>
              </w:rPr>
            </w:pPr>
            <w:r>
              <w:rPr>
                <w:rFonts w:ascii="Arial" w:hAnsi="Arial" w:cs="Arial"/>
                <w:b/>
                <w:bCs/>
                <w:sz w:val="16"/>
                <w:szCs w:val="16"/>
              </w:rPr>
              <w:t>TEKUĆI TRANSFERI</w:t>
            </w:r>
          </w:p>
        </w:tc>
        <w:tc>
          <w:tcPr>
            <w:tcW w:w="735" w:type="dxa"/>
            <w:tcBorders>
              <w:top w:val="nil"/>
              <w:left w:val="single" w:sz="4" w:space="0" w:color="auto"/>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33,188</w:t>
            </w:r>
          </w:p>
        </w:tc>
        <w:tc>
          <w:tcPr>
            <w:tcW w:w="613"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21,124</w:t>
            </w:r>
          </w:p>
        </w:tc>
        <w:tc>
          <w:tcPr>
            <w:tcW w:w="650"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15,104</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69,416</w:t>
            </w:r>
          </w:p>
        </w:tc>
        <w:tc>
          <w:tcPr>
            <w:tcW w:w="703"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35,909</w:t>
            </w:r>
          </w:p>
        </w:tc>
        <w:tc>
          <w:tcPr>
            <w:tcW w:w="742"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25,801</w:t>
            </w:r>
          </w:p>
        </w:tc>
        <w:tc>
          <w:tcPr>
            <w:tcW w:w="690"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15,398</w:t>
            </w:r>
          </w:p>
        </w:tc>
        <w:tc>
          <w:tcPr>
            <w:tcW w:w="767"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77,108</w:t>
            </w:r>
          </w:p>
        </w:tc>
        <w:tc>
          <w:tcPr>
            <w:tcW w:w="6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32,891</w:t>
            </w:r>
          </w:p>
        </w:tc>
        <w:tc>
          <w:tcPr>
            <w:tcW w:w="656"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18,913</w:t>
            </w:r>
          </w:p>
        </w:tc>
        <w:tc>
          <w:tcPr>
            <w:tcW w:w="675"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13,253</w:t>
            </w:r>
          </w:p>
        </w:tc>
        <w:tc>
          <w:tcPr>
            <w:tcW w:w="7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65,057</w:t>
            </w:r>
          </w:p>
        </w:tc>
        <w:tc>
          <w:tcPr>
            <w:tcW w:w="678"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35,600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19,540</w:t>
            </w:r>
          </w:p>
        </w:tc>
        <w:tc>
          <w:tcPr>
            <w:tcW w:w="655"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12,683</w:t>
            </w:r>
          </w:p>
        </w:tc>
        <w:tc>
          <w:tcPr>
            <w:tcW w:w="691"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67,823</w:t>
            </w:r>
          </w:p>
        </w:tc>
        <w:tc>
          <w:tcPr>
            <w:tcW w:w="744"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39,900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21,218</w:t>
            </w:r>
          </w:p>
        </w:tc>
        <w:tc>
          <w:tcPr>
            <w:tcW w:w="671"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12,983</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b/>
                <w:bCs/>
                <w:sz w:val="12"/>
                <w:szCs w:val="12"/>
              </w:rPr>
            </w:pPr>
            <w:r w:rsidRPr="003072DF">
              <w:rPr>
                <w:b/>
                <w:bCs/>
                <w:sz w:val="12"/>
                <w:szCs w:val="12"/>
              </w:rPr>
              <w:t>74,101</w:t>
            </w:r>
          </w:p>
        </w:tc>
      </w:tr>
      <w:tr w:rsidR="003072DF" w:rsidRPr="003072DF" w:rsidTr="003072DF">
        <w:trPr>
          <w:trHeight w:val="420"/>
        </w:trPr>
        <w:tc>
          <w:tcPr>
            <w:tcW w:w="1395" w:type="dxa"/>
            <w:tcBorders>
              <w:top w:val="nil"/>
              <w:left w:val="single" w:sz="4" w:space="0" w:color="auto"/>
              <w:bottom w:val="single" w:sz="4" w:space="0" w:color="auto"/>
              <w:right w:val="nil"/>
            </w:tcBorders>
            <w:shd w:val="clear" w:color="auto" w:fill="auto"/>
            <w:vAlign w:val="bottom"/>
            <w:hideMark/>
          </w:tcPr>
          <w:p w:rsidR="003072DF" w:rsidRDefault="003072DF">
            <w:pPr>
              <w:jc w:val="center"/>
              <w:rPr>
                <w:rFonts w:ascii="Arial" w:hAnsi="Arial" w:cs="Arial"/>
                <w:sz w:val="16"/>
                <w:szCs w:val="16"/>
              </w:rPr>
            </w:pPr>
            <w:r>
              <w:rPr>
                <w:rFonts w:ascii="Arial" w:hAnsi="Arial" w:cs="Arial"/>
                <w:sz w:val="16"/>
                <w:szCs w:val="16"/>
              </w:rPr>
              <w:t>Transferi drugim nivoima vlasti</w:t>
            </w:r>
          </w:p>
        </w:tc>
        <w:tc>
          <w:tcPr>
            <w:tcW w:w="735" w:type="dxa"/>
            <w:tcBorders>
              <w:top w:val="nil"/>
              <w:left w:val="single" w:sz="4" w:space="0" w:color="auto"/>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12,332</w:t>
            </w:r>
          </w:p>
        </w:tc>
        <w:tc>
          <w:tcPr>
            <w:tcW w:w="61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0,850</w:t>
            </w:r>
          </w:p>
        </w:tc>
        <w:tc>
          <w:tcPr>
            <w:tcW w:w="65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3,560</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16,742</w:t>
            </w:r>
          </w:p>
        </w:tc>
        <w:tc>
          <w:tcPr>
            <w:tcW w:w="70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10,800</w:t>
            </w:r>
          </w:p>
        </w:tc>
        <w:tc>
          <w:tcPr>
            <w:tcW w:w="742"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1,419</w:t>
            </w:r>
          </w:p>
        </w:tc>
        <w:tc>
          <w:tcPr>
            <w:tcW w:w="69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2,749</w:t>
            </w:r>
          </w:p>
        </w:tc>
        <w:tc>
          <w:tcPr>
            <w:tcW w:w="767"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14,968</w:t>
            </w:r>
          </w:p>
        </w:tc>
        <w:tc>
          <w:tcPr>
            <w:tcW w:w="6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8,400</w:t>
            </w:r>
          </w:p>
        </w:tc>
        <w:tc>
          <w:tcPr>
            <w:tcW w:w="656"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0,983</w:t>
            </w:r>
          </w:p>
        </w:tc>
        <w:tc>
          <w:tcPr>
            <w:tcW w:w="67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1,509</w:t>
            </w:r>
          </w:p>
        </w:tc>
        <w:tc>
          <w:tcPr>
            <w:tcW w:w="7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10,892</w:t>
            </w:r>
          </w:p>
        </w:tc>
        <w:tc>
          <w:tcPr>
            <w:tcW w:w="678"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10,100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1,148</w:t>
            </w:r>
          </w:p>
        </w:tc>
        <w:tc>
          <w:tcPr>
            <w:tcW w:w="65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1,489</w:t>
            </w:r>
          </w:p>
        </w:tc>
        <w:tc>
          <w:tcPr>
            <w:tcW w:w="69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12,737</w:t>
            </w:r>
          </w:p>
        </w:tc>
        <w:tc>
          <w:tcPr>
            <w:tcW w:w="74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11,200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1,035</w:t>
            </w:r>
          </w:p>
        </w:tc>
        <w:tc>
          <w:tcPr>
            <w:tcW w:w="67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1,458</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13,693</w:t>
            </w:r>
          </w:p>
        </w:tc>
      </w:tr>
      <w:tr w:rsidR="003072DF" w:rsidRPr="003072DF" w:rsidTr="003072DF">
        <w:trPr>
          <w:trHeight w:val="420"/>
        </w:trPr>
        <w:tc>
          <w:tcPr>
            <w:tcW w:w="1395" w:type="dxa"/>
            <w:tcBorders>
              <w:top w:val="nil"/>
              <w:left w:val="single" w:sz="4" w:space="0" w:color="auto"/>
              <w:bottom w:val="single" w:sz="4" w:space="0" w:color="auto"/>
              <w:right w:val="nil"/>
            </w:tcBorders>
            <w:shd w:val="clear" w:color="auto" w:fill="auto"/>
            <w:vAlign w:val="bottom"/>
            <w:hideMark/>
          </w:tcPr>
          <w:p w:rsidR="003072DF" w:rsidRDefault="003072DF">
            <w:pPr>
              <w:jc w:val="center"/>
              <w:rPr>
                <w:rFonts w:ascii="Arial" w:hAnsi="Arial" w:cs="Arial"/>
                <w:sz w:val="16"/>
                <w:szCs w:val="16"/>
              </w:rPr>
            </w:pPr>
            <w:r>
              <w:rPr>
                <w:rFonts w:ascii="Arial" w:hAnsi="Arial" w:cs="Arial"/>
                <w:sz w:val="16"/>
                <w:szCs w:val="16"/>
              </w:rPr>
              <w:t>Transferi  pojedincima</w:t>
            </w:r>
          </w:p>
        </w:tc>
        <w:tc>
          <w:tcPr>
            <w:tcW w:w="735" w:type="dxa"/>
            <w:tcBorders>
              <w:top w:val="nil"/>
              <w:left w:val="single" w:sz="4" w:space="0" w:color="auto"/>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7,001</w:t>
            </w:r>
          </w:p>
        </w:tc>
        <w:tc>
          <w:tcPr>
            <w:tcW w:w="61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7,140</w:t>
            </w:r>
          </w:p>
        </w:tc>
        <w:tc>
          <w:tcPr>
            <w:tcW w:w="65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11,502</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25,643</w:t>
            </w:r>
          </w:p>
        </w:tc>
        <w:tc>
          <w:tcPr>
            <w:tcW w:w="70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3,531</w:t>
            </w:r>
          </w:p>
        </w:tc>
        <w:tc>
          <w:tcPr>
            <w:tcW w:w="742"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9,551</w:t>
            </w:r>
          </w:p>
        </w:tc>
        <w:tc>
          <w:tcPr>
            <w:tcW w:w="69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12,150</w:t>
            </w:r>
          </w:p>
        </w:tc>
        <w:tc>
          <w:tcPr>
            <w:tcW w:w="767"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25,232</w:t>
            </w:r>
          </w:p>
        </w:tc>
        <w:tc>
          <w:tcPr>
            <w:tcW w:w="6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5,791</w:t>
            </w:r>
          </w:p>
        </w:tc>
        <w:tc>
          <w:tcPr>
            <w:tcW w:w="656"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7,120</w:t>
            </w:r>
          </w:p>
        </w:tc>
        <w:tc>
          <w:tcPr>
            <w:tcW w:w="67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11,250</w:t>
            </w:r>
          </w:p>
        </w:tc>
        <w:tc>
          <w:tcPr>
            <w:tcW w:w="7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24,161</w:t>
            </w:r>
          </w:p>
        </w:tc>
        <w:tc>
          <w:tcPr>
            <w:tcW w:w="678"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6,100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7,323</w:t>
            </w:r>
          </w:p>
        </w:tc>
        <w:tc>
          <w:tcPr>
            <w:tcW w:w="65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11,000</w:t>
            </w:r>
          </w:p>
        </w:tc>
        <w:tc>
          <w:tcPr>
            <w:tcW w:w="69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24,423</w:t>
            </w:r>
          </w:p>
        </w:tc>
        <w:tc>
          <w:tcPr>
            <w:tcW w:w="74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6,200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7,428</w:t>
            </w:r>
          </w:p>
        </w:tc>
        <w:tc>
          <w:tcPr>
            <w:tcW w:w="67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11,331</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24,959</w:t>
            </w:r>
          </w:p>
        </w:tc>
      </w:tr>
      <w:tr w:rsidR="003072DF" w:rsidRPr="003072DF" w:rsidTr="003072DF">
        <w:trPr>
          <w:trHeight w:val="624"/>
        </w:trPr>
        <w:tc>
          <w:tcPr>
            <w:tcW w:w="1395" w:type="dxa"/>
            <w:tcBorders>
              <w:top w:val="nil"/>
              <w:left w:val="single" w:sz="4" w:space="0" w:color="auto"/>
              <w:bottom w:val="single" w:sz="4" w:space="0" w:color="auto"/>
              <w:right w:val="nil"/>
            </w:tcBorders>
            <w:shd w:val="clear" w:color="auto" w:fill="auto"/>
            <w:vAlign w:val="bottom"/>
            <w:hideMark/>
          </w:tcPr>
          <w:p w:rsidR="003072DF" w:rsidRDefault="003072DF">
            <w:pPr>
              <w:jc w:val="center"/>
              <w:rPr>
                <w:rFonts w:ascii="Arial" w:hAnsi="Arial" w:cs="Arial"/>
                <w:sz w:val="16"/>
                <w:szCs w:val="16"/>
              </w:rPr>
            </w:pPr>
            <w:r>
              <w:rPr>
                <w:rFonts w:ascii="Arial" w:hAnsi="Arial" w:cs="Arial"/>
                <w:sz w:val="16"/>
                <w:szCs w:val="16"/>
              </w:rPr>
              <w:t>Grantovi neprofitnim organizacijama</w:t>
            </w:r>
          </w:p>
        </w:tc>
        <w:tc>
          <w:tcPr>
            <w:tcW w:w="735" w:type="dxa"/>
            <w:tcBorders>
              <w:top w:val="nil"/>
              <w:left w:val="single" w:sz="4" w:space="0" w:color="auto"/>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5,825</w:t>
            </w:r>
          </w:p>
        </w:tc>
        <w:tc>
          <w:tcPr>
            <w:tcW w:w="61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7,336</w:t>
            </w:r>
          </w:p>
        </w:tc>
        <w:tc>
          <w:tcPr>
            <w:tcW w:w="65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13,161</w:t>
            </w:r>
          </w:p>
        </w:tc>
        <w:tc>
          <w:tcPr>
            <w:tcW w:w="70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6,637</w:t>
            </w:r>
          </w:p>
        </w:tc>
        <w:tc>
          <w:tcPr>
            <w:tcW w:w="742"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7,378</w:t>
            </w:r>
          </w:p>
        </w:tc>
        <w:tc>
          <w:tcPr>
            <w:tcW w:w="69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767"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14,015</w:t>
            </w:r>
          </w:p>
        </w:tc>
        <w:tc>
          <w:tcPr>
            <w:tcW w:w="6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5,500</w:t>
            </w:r>
          </w:p>
        </w:tc>
        <w:tc>
          <w:tcPr>
            <w:tcW w:w="656"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6,969</w:t>
            </w:r>
          </w:p>
        </w:tc>
        <w:tc>
          <w:tcPr>
            <w:tcW w:w="67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7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12,469</w:t>
            </w:r>
          </w:p>
        </w:tc>
        <w:tc>
          <w:tcPr>
            <w:tcW w:w="678"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6,000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6,798</w:t>
            </w:r>
          </w:p>
        </w:tc>
        <w:tc>
          <w:tcPr>
            <w:tcW w:w="65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9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12,798</w:t>
            </w:r>
          </w:p>
        </w:tc>
        <w:tc>
          <w:tcPr>
            <w:tcW w:w="74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6,500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6,840</w:t>
            </w:r>
          </w:p>
        </w:tc>
        <w:tc>
          <w:tcPr>
            <w:tcW w:w="67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13,340</w:t>
            </w:r>
          </w:p>
        </w:tc>
      </w:tr>
      <w:tr w:rsidR="003072DF" w:rsidRPr="003072DF" w:rsidTr="003072DF">
        <w:trPr>
          <w:trHeight w:val="540"/>
        </w:trPr>
        <w:tc>
          <w:tcPr>
            <w:tcW w:w="1395" w:type="dxa"/>
            <w:tcBorders>
              <w:top w:val="nil"/>
              <w:left w:val="single" w:sz="4" w:space="0" w:color="auto"/>
              <w:bottom w:val="single" w:sz="4" w:space="0" w:color="auto"/>
              <w:right w:val="nil"/>
            </w:tcBorders>
            <w:shd w:val="clear" w:color="auto" w:fill="auto"/>
            <w:vAlign w:val="bottom"/>
            <w:hideMark/>
          </w:tcPr>
          <w:p w:rsidR="003072DF" w:rsidRDefault="003072DF">
            <w:pPr>
              <w:jc w:val="center"/>
              <w:rPr>
                <w:rFonts w:ascii="Arial" w:hAnsi="Arial" w:cs="Arial"/>
                <w:sz w:val="16"/>
                <w:szCs w:val="16"/>
              </w:rPr>
            </w:pPr>
            <w:r>
              <w:rPr>
                <w:rFonts w:ascii="Arial" w:hAnsi="Arial" w:cs="Arial"/>
                <w:sz w:val="16"/>
                <w:szCs w:val="16"/>
              </w:rPr>
              <w:t>Subvencije</w:t>
            </w:r>
          </w:p>
        </w:tc>
        <w:tc>
          <w:tcPr>
            <w:tcW w:w="735" w:type="dxa"/>
            <w:tcBorders>
              <w:top w:val="nil"/>
              <w:left w:val="single" w:sz="4" w:space="0" w:color="auto"/>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7,200</w:t>
            </w:r>
          </w:p>
        </w:tc>
        <w:tc>
          <w:tcPr>
            <w:tcW w:w="61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4,181</w:t>
            </w:r>
          </w:p>
        </w:tc>
        <w:tc>
          <w:tcPr>
            <w:tcW w:w="65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11,381</w:t>
            </w:r>
          </w:p>
        </w:tc>
        <w:tc>
          <w:tcPr>
            <w:tcW w:w="70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11,714</w:t>
            </w:r>
          </w:p>
        </w:tc>
        <w:tc>
          <w:tcPr>
            <w:tcW w:w="742"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4,465</w:t>
            </w:r>
          </w:p>
        </w:tc>
        <w:tc>
          <w:tcPr>
            <w:tcW w:w="69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0,300</w:t>
            </w:r>
          </w:p>
        </w:tc>
        <w:tc>
          <w:tcPr>
            <w:tcW w:w="767"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16,479</w:t>
            </w:r>
          </w:p>
        </w:tc>
        <w:tc>
          <w:tcPr>
            <w:tcW w:w="6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9,900</w:t>
            </w:r>
          </w:p>
        </w:tc>
        <w:tc>
          <w:tcPr>
            <w:tcW w:w="656"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2,425</w:t>
            </w:r>
          </w:p>
        </w:tc>
        <w:tc>
          <w:tcPr>
            <w:tcW w:w="67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0,300</w:t>
            </w:r>
          </w:p>
        </w:tc>
        <w:tc>
          <w:tcPr>
            <w:tcW w:w="7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12,625</w:t>
            </w:r>
          </w:p>
        </w:tc>
        <w:tc>
          <w:tcPr>
            <w:tcW w:w="678"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8,900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2,755</w:t>
            </w:r>
          </w:p>
        </w:tc>
        <w:tc>
          <w:tcPr>
            <w:tcW w:w="65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9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11,655</w:t>
            </w:r>
          </w:p>
        </w:tc>
        <w:tc>
          <w:tcPr>
            <w:tcW w:w="74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10,000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2,712</w:t>
            </w:r>
          </w:p>
        </w:tc>
        <w:tc>
          <w:tcPr>
            <w:tcW w:w="67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12,712</w:t>
            </w:r>
          </w:p>
        </w:tc>
      </w:tr>
      <w:tr w:rsidR="003072DF" w:rsidRPr="003072DF" w:rsidTr="003072DF">
        <w:trPr>
          <w:trHeight w:val="420"/>
        </w:trPr>
        <w:tc>
          <w:tcPr>
            <w:tcW w:w="1395" w:type="dxa"/>
            <w:tcBorders>
              <w:top w:val="nil"/>
              <w:left w:val="single" w:sz="4" w:space="0" w:color="auto"/>
              <w:bottom w:val="single" w:sz="4" w:space="0" w:color="auto"/>
              <w:right w:val="nil"/>
            </w:tcBorders>
            <w:shd w:val="clear" w:color="auto" w:fill="auto"/>
            <w:vAlign w:val="bottom"/>
            <w:hideMark/>
          </w:tcPr>
          <w:p w:rsidR="003072DF" w:rsidRDefault="003072DF">
            <w:pPr>
              <w:jc w:val="center"/>
              <w:rPr>
                <w:rFonts w:ascii="Arial" w:hAnsi="Arial" w:cs="Arial"/>
                <w:sz w:val="16"/>
                <w:szCs w:val="16"/>
              </w:rPr>
            </w:pPr>
            <w:r>
              <w:rPr>
                <w:rFonts w:ascii="Arial" w:hAnsi="Arial" w:cs="Arial"/>
                <w:sz w:val="16"/>
                <w:szCs w:val="16"/>
              </w:rPr>
              <w:t>Ostali tekući transferi-sudska</w:t>
            </w:r>
          </w:p>
        </w:tc>
        <w:tc>
          <w:tcPr>
            <w:tcW w:w="735" w:type="dxa"/>
            <w:tcBorders>
              <w:top w:val="nil"/>
              <w:left w:val="single" w:sz="4" w:space="0" w:color="auto"/>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0,830</w:t>
            </w:r>
          </w:p>
        </w:tc>
        <w:tc>
          <w:tcPr>
            <w:tcW w:w="61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1,617</w:t>
            </w:r>
          </w:p>
        </w:tc>
        <w:tc>
          <w:tcPr>
            <w:tcW w:w="65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0,042</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2,489</w:t>
            </w:r>
          </w:p>
        </w:tc>
        <w:tc>
          <w:tcPr>
            <w:tcW w:w="70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3,227</w:t>
            </w:r>
          </w:p>
        </w:tc>
        <w:tc>
          <w:tcPr>
            <w:tcW w:w="742"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2,988</w:t>
            </w:r>
          </w:p>
        </w:tc>
        <w:tc>
          <w:tcPr>
            <w:tcW w:w="69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0,199</w:t>
            </w:r>
          </w:p>
        </w:tc>
        <w:tc>
          <w:tcPr>
            <w:tcW w:w="767"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6,414</w:t>
            </w:r>
          </w:p>
        </w:tc>
        <w:tc>
          <w:tcPr>
            <w:tcW w:w="6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3,300</w:t>
            </w:r>
          </w:p>
        </w:tc>
        <w:tc>
          <w:tcPr>
            <w:tcW w:w="656"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1,416</w:t>
            </w:r>
          </w:p>
        </w:tc>
        <w:tc>
          <w:tcPr>
            <w:tcW w:w="67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0,194</w:t>
            </w:r>
          </w:p>
        </w:tc>
        <w:tc>
          <w:tcPr>
            <w:tcW w:w="7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4,910</w:t>
            </w:r>
          </w:p>
        </w:tc>
        <w:tc>
          <w:tcPr>
            <w:tcW w:w="678"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4,500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1,516</w:t>
            </w:r>
          </w:p>
        </w:tc>
        <w:tc>
          <w:tcPr>
            <w:tcW w:w="65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0,194</w:t>
            </w:r>
          </w:p>
        </w:tc>
        <w:tc>
          <w:tcPr>
            <w:tcW w:w="69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6,210</w:t>
            </w:r>
          </w:p>
        </w:tc>
        <w:tc>
          <w:tcPr>
            <w:tcW w:w="74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6,000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3,203</w:t>
            </w:r>
          </w:p>
        </w:tc>
        <w:tc>
          <w:tcPr>
            <w:tcW w:w="67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0,194</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9,397</w:t>
            </w:r>
          </w:p>
        </w:tc>
      </w:tr>
      <w:tr w:rsidR="003072DF" w:rsidRPr="003072DF" w:rsidTr="003072DF">
        <w:trPr>
          <w:trHeight w:val="450"/>
        </w:trPr>
        <w:tc>
          <w:tcPr>
            <w:tcW w:w="1395" w:type="dxa"/>
            <w:tcBorders>
              <w:top w:val="nil"/>
              <w:left w:val="single" w:sz="4" w:space="0" w:color="auto"/>
              <w:bottom w:val="single" w:sz="4" w:space="0" w:color="auto"/>
              <w:right w:val="nil"/>
            </w:tcBorders>
            <w:shd w:val="clear" w:color="auto" w:fill="auto"/>
            <w:vAlign w:val="bottom"/>
            <w:hideMark/>
          </w:tcPr>
          <w:p w:rsidR="003072DF" w:rsidRDefault="003072DF">
            <w:pPr>
              <w:jc w:val="center"/>
              <w:rPr>
                <w:rFonts w:ascii="Arial" w:hAnsi="Arial" w:cs="Arial"/>
                <w:b/>
                <w:bCs/>
                <w:sz w:val="16"/>
                <w:szCs w:val="16"/>
              </w:rPr>
            </w:pPr>
            <w:r>
              <w:rPr>
                <w:rFonts w:ascii="Arial" w:hAnsi="Arial" w:cs="Arial"/>
                <w:b/>
                <w:bCs/>
                <w:sz w:val="16"/>
                <w:szCs w:val="16"/>
              </w:rPr>
              <w:t>Kapitalni grantovi</w:t>
            </w:r>
          </w:p>
        </w:tc>
        <w:tc>
          <w:tcPr>
            <w:tcW w:w="735" w:type="dxa"/>
            <w:tcBorders>
              <w:top w:val="nil"/>
              <w:left w:val="single" w:sz="4" w:space="0" w:color="auto"/>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0,750</w:t>
            </w:r>
          </w:p>
        </w:tc>
        <w:tc>
          <w:tcPr>
            <w:tcW w:w="61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2,426</w:t>
            </w:r>
          </w:p>
        </w:tc>
        <w:tc>
          <w:tcPr>
            <w:tcW w:w="65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3,176</w:t>
            </w:r>
          </w:p>
        </w:tc>
        <w:tc>
          <w:tcPr>
            <w:tcW w:w="70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4,575</w:t>
            </w:r>
          </w:p>
        </w:tc>
        <w:tc>
          <w:tcPr>
            <w:tcW w:w="742"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3,033</w:t>
            </w:r>
          </w:p>
        </w:tc>
        <w:tc>
          <w:tcPr>
            <w:tcW w:w="69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767"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7,608</w:t>
            </w:r>
          </w:p>
        </w:tc>
        <w:tc>
          <w:tcPr>
            <w:tcW w:w="6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1,133</w:t>
            </w:r>
          </w:p>
        </w:tc>
        <w:tc>
          <w:tcPr>
            <w:tcW w:w="656"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2,049</w:t>
            </w:r>
          </w:p>
        </w:tc>
        <w:tc>
          <w:tcPr>
            <w:tcW w:w="67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7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3,182</w:t>
            </w:r>
          </w:p>
        </w:tc>
        <w:tc>
          <w:tcPr>
            <w:tcW w:w="678"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1,300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2,123</w:t>
            </w:r>
          </w:p>
        </w:tc>
        <w:tc>
          <w:tcPr>
            <w:tcW w:w="65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9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3,423</w:t>
            </w:r>
          </w:p>
        </w:tc>
        <w:tc>
          <w:tcPr>
            <w:tcW w:w="74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2,000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2,216</w:t>
            </w:r>
          </w:p>
        </w:tc>
        <w:tc>
          <w:tcPr>
            <w:tcW w:w="67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4,216</w:t>
            </w:r>
          </w:p>
        </w:tc>
      </w:tr>
      <w:tr w:rsidR="003072DF" w:rsidRPr="003072DF" w:rsidTr="003072DF">
        <w:trPr>
          <w:trHeight w:val="450"/>
        </w:trPr>
        <w:tc>
          <w:tcPr>
            <w:tcW w:w="1395" w:type="dxa"/>
            <w:tcBorders>
              <w:top w:val="nil"/>
              <w:left w:val="single" w:sz="4" w:space="0" w:color="auto"/>
              <w:bottom w:val="single" w:sz="4" w:space="0" w:color="auto"/>
              <w:right w:val="nil"/>
            </w:tcBorders>
            <w:shd w:val="clear" w:color="000000" w:fill="FFFFFF"/>
            <w:vAlign w:val="bottom"/>
            <w:hideMark/>
          </w:tcPr>
          <w:p w:rsidR="003072DF" w:rsidRDefault="003072DF">
            <w:pPr>
              <w:jc w:val="center"/>
              <w:rPr>
                <w:rFonts w:ascii="Arial" w:hAnsi="Arial" w:cs="Arial"/>
                <w:b/>
                <w:bCs/>
                <w:sz w:val="16"/>
                <w:szCs w:val="16"/>
              </w:rPr>
            </w:pPr>
            <w:r>
              <w:rPr>
                <w:rFonts w:ascii="Arial" w:hAnsi="Arial" w:cs="Arial"/>
                <w:b/>
                <w:bCs/>
                <w:sz w:val="16"/>
                <w:szCs w:val="16"/>
              </w:rPr>
              <w:t>Tekuća rezerva</w:t>
            </w:r>
          </w:p>
        </w:tc>
        <w:tc>
          <w:tcPr>
            <w:tcW w:w="735" w:type="dxa"/>
            <w:tcBorders>
              <w:top w:val="nil"/>
              <w:left w:val="single" w:sz="4" w:space="0" w:color="auto"/>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0,099</w:t>
            </w:r>
          </w:p>
        </w:tc>
        <w:tc>
          <w:tcPr>
            <w:tcW w:w="613"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0,060</w:t>
            </w:r>
          </w:p>
        </w:tc>
        <w:tc>
          <w:tcPr>
            <w:tcW w:w="650"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3,629</w:t>
            </w:r>
          </w:p>
        </w:tc>
        <w:tc>
          <w:tcPr>
            <w:tcW w:w="663"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3,788</w:t>
            </w:r>
          </w:p>
        </w:tc>
        <w:tc>
          <w:tcPr>
            <w:tcW w:w="703"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0,200</w:t>
            </w:r>
          </w:p>
        </w:tc>
        <w:tc>
          <w:tcPr>
            <w:tcW w:w="742"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0,231</w:t>
            </w:r>
          </w:p>
        </w:tc>
        <w:tc>
          <w:tcPr>
            <w:tcW w:w="690"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0,211</w:t>
            </w:r>
          </w:p>
        </w:tc>
        <w:tc>
          <w:tcPr>
            <w:tcW w:w="767"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0,642</w:t>
            </w:r>
          </w:p>
        </w:tc>
        <w:tc>
          <w:tcPr>
            <w:tcW w:w="670"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0,100</w:t>
            </w:r>
          </w:p>
        </w:tc>
        <w:tc>
          <w:tcPr>
            <w:tcW w:w="656"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0,222</w:t>
            </w:r>
          </w:p>
        </w:tc>
        <w:tc>
          <w:tcPr>
            <w:tcW w:w="675"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0,182</w:t>
            </w:r>
          </w:p>
        </w:tc>
        <w:tc>
          <w:tcPr>
            <w:tcW w:w="770"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0,504</w:t>
            </w:r>
          </w:p>
        </w:tc>
        <w:tc>
          <w:tcPr>
            <w:tcW w:w="678"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0,150</w:t>
            </w:r>
          </w:p>
        </w:tc>
        <w:tc>
          <w:tcPr>
            <w:tcW w:w="584"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0,222</w:t>
            </w:r>
          </w:p>
        </w:tc>
        <w:tc>
          <w:tcPr>
            <w:tcW w:w="655"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0,569</w:t>
            </w:r>
          </w:p>
        </w:tc>
        <w:tc>
          <w:tcPr>
            <w:tcW w:w="691"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0,941</w:t>
            </w:r>
          </w:p>
        </w:tc>
        <w:tc>
          <w:tcPr>
            <w:tcW w:w="744"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0,150</w:t>
            </w:r>
          </w:p>
        </w:tc>
        <w:tc>
          <w:tcPr>
            <w:tcW w:w="584"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0,232</w:t>
            </w:r>
          </w:p>
        </w:tc>
        <w:tc>
          <w:tcPr>
            <w:tcW w:w="671"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0,148</w:t>
            </w:r>
          </w:p>
        </w:tc>
        <w:tc>
          <w:tcPr>
            <w:tcW w:w="663" w:type="dxa"/>
            <w:tcBorders>
              <w:top w:val="nil"/>
              <w:left w:val="nil"/>
              <w:bottom w:val="single" w:sz="4" w:space="0" w:color="auto"/>
              <w:right w:val="single" w:sz="4" w:space="0" w:color="auto"/>
            </w:tcBorders>
            <w:shd w:val="clear" w:color="000000" w:fill="FFFFFF"/>
            <w:hideMark/>
          </w:tcPr>
          <w:p w:rsidR="003072DF" w:rsidRPr="003072DF" w:rsidRDefault="003072DF">
            <w:pPr>
              <w:jc w:val="right"/>
              <w:rPr>
                <w:sz w:val="12"/>
                <w:szCs w:val="12"/>
              </w:rPr>
            </w:pPr>
            <w:r w:rsidRPr="003072DF">
              <w:rPr>
                <w:sz w:val="12"/>
                <w:szCs w:val="12"/>
              </w:rPr>
              <w:t>0,530</w:t>
            </w:r>
          </w:p>
        </w:tc>
      </w:tr>
      <w:tr w:rsidR="003072DF" w:rsidRPr="003072DF" w:rsidTr="003072DF">
        <w:trPr>
          <w:trHeight w:val="264"/>
        </w:trPr>
        <w:tc>
          <w:tcPr>
            <w:tcW w:w="1395" w:type="dxa"/>
            <w:tcBorders>
              <w:top w:val="nil"/>
              <w:left w:val="single" w:sz="4" w:space="0" w:color="auto"/>
              <w:bottom w:val="single" w:sz="4" w:space="0" w:color="auto"/>
              <w:right w:val="nil"/>
            </w:tcBorders>
            <w:shd w:val="clear" w:color="auto" w:fill="auto"/>
            <w:vAlign w:val="bottom"/>
            <w:hideMark/>
          </w:tcPr>
          <w:p w:rsidR="003072DF" w:rsidRDefault="003072DF">
            <w:pPr>
              <w:jc w:val="center"/>
              <w:rPr>
                <w:rFonts w:ascii="Arial" w:hAnsi="Arial" w:cs="Arial"/>
                <w:b/>
                <w:bCs/>
                <w:sz w:val="16"/>
                <w:szCs w:val="16"/>
              </w:rPr>
            </w:pPr>
            <w:r>
              <w:rPr>
                <w:rFonts w:ascii="Arial" w:hAnsi="Arial" w:cs="Arial"/>
                <w:b/>
                <w:bCs/>
                <w:sz w:val="16"/>
                <w:szCs w:val="16"/>
              </w:rPr>
              <w:t>Izdaci za kamate</w:t>
            </w:r>
          </w:p>
        </w:tc>
        <w:tc>
          <w:tcPr>
            <w:tcW w:w="735" w:type="dxa"/>
            <w:tcBorders>
              <w:top w:val="nil"/>
              <w:left w:val="single" w:sz="4" w:space="0" w:color="auto"/>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0,975</w:t>
            </w:r>
          </w:p>
        </w:tc>
        <w:tc>
          <w:tcPr>
            <w:tcW w:w="61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0,655</w:t>
            </w:r>
          </w:p>
        </w:tc>
        <w:tc>
          <w:tcPr>
            <w:tcW w:w="65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1,630</w:t>
            </w:r>
          </w:p>
        </w:tc>
        <w:tc>
          <w:tcPr>
            <w:tcW w:w="70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1,058</w:t>
            </w:r>
          </w:p>
        </w:tc>
        <w:tc>
          <w:tcPr>
            <w:tcW w:w="742"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0,663</w:t>
            </w:r>
          </w:p>
        </w:tc>
        <w:tc>
          <w:tcPr>
            <w:tcW w:w="69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767"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1,721</w:t>
            </w:r>
          </w:p>
        </w:tc>
        <w:tc>
          <w:tcPr>
            <w:tcW w:w="6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0,976</w:t>
            </w:r>
          </w:p>
        </w:tc>
        <w:tc>
          <w:tcPr>
            <w:tcW w:w="656"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0,626</w:t>
            </w:r>
          </w:p>
        </w:tc>
        <w:tc>
          <w:tcPr>
            <w:tcW w:w="67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7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1,602</w:t>
            </w:r>
          </w:p>
        </w:tc>
        <w:tc>
          <w:tcPr>
            <w:tcW w:w="678"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0,950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0,436</w:t>
            </w:r>
          </w:p>
        </w:tc>
        <w:tc>
          <w:tcPr>
            <w:tcW w:w="65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9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1,386</w:t>
            </w:r>
          </w:p>
        </w:tc>
        <w:tc>
          <w:tcPr>
            <w:tcW w:w="74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0,878</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0,378</w:t>
            </w:r>
          </w:p>
        </w:tc>
        <w:tc>
          <w:tcPr>
            <w:tcW w:w="67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1,256</w:t>
            </w:r>
          </w:p>
        </w:tc>
      </w:tr>
      <w:tr w:rsidR="003072DF" w:rsidRPr="003072DF" w:rsidTr="003072DF">
        <w:trPr>
          <w:trHeight w:val="390"/>
        </w:trPr>
        <w:tc>
          <w:tcPr>
            <w:tcW w:w="1395" w:type="dxa"/>
            <w:tcBorders>
              <w:top w:val="nil"/>
              <w:left w:val="nil"/>
              <w:bottom w:val="nil"/>
              <w:right w:val="nil"/>
            </w:tcBorders>
            <w:shd w:val="clear" w:color="000000" w:fill="D9D9D9"/>
            <w:noWrap/>
            <w:vAlign w:val="bottom"/>
            <w:hideMark/>
          </w:tcPr>
          <w:p w:rsidR="003072DF" w:rsidRDefault="003072DF">
            <w:pPr>
              <w:jc w:val="center"/>
              <w:rPr>
                <w:rFonts w:ascii="Arial" w:hAnsi="Arial" w:cs="Arial"/>
                <w:sz w:val="16"/>
                <w:szCs w:val="16"/>
              </w:rPr>
            </w:pPr>
            <w:r>
              <w:rPr>
                <w:rFonts w:ascii="Arial" w:hAnsi="Arial" w:cs="Arial"/>
                <w:sz w:val="16"/>
                <w:szCs w:val="16"/>
              </w:rPr>
              <w:t>Kapitalni izdaci</w:t>
            </w:r>
          </w:p>
        </w:tc>
        <w:tc>
          <w:tcPr>
            <w:tcW w:w="735" w:type="dxa"/>
            <w:tcBorders>
              <w:top w:val="nil"/>
              <w:left w:val="single" w:sz="4" w:space="0" w:color="auto"/>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8,664</w:t>
            </w:r>
          </w:p>
        </w:tc>
        <w:tc>
          <w:tcPr>
            <w:tcW w:w="613"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20,341</w:t>
            </w:r>
          </w:p>
        </w:tc>
        <w:tc>
          <w:tcPr>
            <w:tcW w:w="650"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9,795</w:t>
            </w:r>
          </w:p>
        </w:tc>
        <w:tc>
          <w:tcPr>
            <w:tcW w:w="663"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38,800</w:t>
            </w:r>
          </w:p>
        </w:tc>
        <w:tc>
          <w:tcPr>
            <w:tcW w:w="703"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9,310</w:t>
            </w:r>
          </w:p>
        </w:tc>
        <w:tc>
          <w:tcPr>
            <w:tcW w:w="742"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43,583</w:t>
            </w:r>
          </w:p>
        </w:tc>
        <w:tc>
          <w:tcPr>
            <w:tcW w:w="690"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9,843</w:t>
            </w:r>
          </w:p>
        </w:tc>
        <w:tc>
          <w:tcPr>
            <w:tcW w:w="767"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62,736</w:t>
            </w:r>
          </w:p>
        </w:tc>
        <w:tc>
          <w:tcPr>
            <w:tcW w:w="670"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7,820</w:t>
            </w:r>
          </w:p>
        </w:tc>
        <w:tc>
          <w:tcPr>
            <w:tcW w:w="656"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20,675</w:t>
            </w:r>
          </w:p>
        </w:tc>
        <w:tc>
          <w:tcPr>
            <w:tcW w:w="675"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5,270</w:t>
            </w:r>
          </w:p>
        </w:tc>
        <w:tc>
          <w:tcPr>
            <w:tcW w:w="770"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33,765</w:t>
            </w:r>
          </w:p>
        </w:tc>
        <w:tc>
          <w:tcPr>
            <w:tcW w:w="678"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8,700</w:t>
            </w:r>
          </w:p>
        </w:tc>
        <w:tc>
          <w:tcPr>
            <w:tcW w:w="584"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22,732</w:t>
            </w:r>
          </w:p>
        </w:tc>
        <w:tc>
          <w:tcPr>
            <w:tcW w:w="655"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5,371</w:t>
            </w:r>
          </w:p>
        </w:tc>
        <w:tc>
          <w:tcPr>
            <w:tcW w:w="691"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36,803</w:t>
            </w:r>
          </w:p>
        </w:tc>
        <w:tc>
          <w:tcPr>
            <w:tcW w:w="744"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8,700</w:t>
            </w:r>
          </w:p>
        </w:tc>
        <w:tc>
          <w:tcPr>
            <w:tcW w:w="584"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23,795</w:t>
            </w:r>
          </w:p>
        </w:tc>
        <w:tc>
          <w:tcPr>
            <w:tcW w:w="671"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4,971</w:t>
            </w:r>
          </w:p>
        </w:tc>
        <w:tc>
          <w:tcPr>
            <w:tcW w:w="663"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37,466</w:t>
            </w:r>
          </w:p>
        </w:tc>
      </w:tr>
      <w:tr w:rsidR="003072DF" w:rsidRPr="003072DF" w:rsidTr="003072DF">
        <w:trPr>
          <w:trHeight w:val="420"/>
        </w:trPr>
        <w:tc>
          <w:tcPr>
            <w:tcW w:w="1395" w:type="dxa"/>
            <w:tcBorders>
              <w:top w:val="nil"/>
              <w:left w:val="single" w:sz="4" w:space="0" w:color="auto"/>
              <w:bottom w:val="single" w:sz="4" w:space="0" w:color="auto"/>
              <w:right w:val="nil"/>
            </w:tcBorders>
            <w:shd w:val="clear" w:color="auto" w:fill="auto"/>
            <w:vAlign w:val="bottom"/>
            <w:hideMark/>
          </w:tcPr>
          <w:p w:rsidR="003072DF" w:rsidRDefault="003072DF">
            <w:pPr>
              <w:jc w:val="center"/>
              <w:rPr>
                <w:rFonts w:ascii="Arial" w:hAnsi="Arial" w:cs="Arial"/>
                <w:b/>
                <w:bCs/>
                <w:sz w:val="16"/>
                <w:szCs w:val="16"/>
              </w:rPr>
            </w:pPr>
            <w:r>
              <w:rPr>
                <w:rFonts w:ascii="Arial" w:hAnsi="Arial" w:cs="Arial"/>
                <w:b/>
                <w:bCs/>
                <w:sz w:val="16"/>
                <w:szCs w:val="16"/>
              </w:rPr>
              <w:t>Nabavka stalnih sredstava</w:t>
            </w:r>
          </w:p>
        </w:tc>
        <w:tc>
          <w:tcPr>
            <w:tcW w:w="735" w:type="dxa"/>
            <w:tcBorders>
              <w:top w:val="nil"/>
              <w:left w:val="single" w:sz="4" w:space="0" w:color="auto"/>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3,062</w:t>
            </w:r>
          </w:p>
        </w:tc>
        <w:tc>
          <w:tcPr>
            <w:tcW w:w="61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15,221</w:t>
            </w:r>
          </w:p>
        </w:tc>
        <w:tc>
          <w:tcPr>
            <w:tcW w:w="65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9,795</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28,078</w:t>
            </w:r>
          </w:p>
        </w:tc>
        <w:tc>
          <w:tcPr>
            <w:tcW w:w="70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4,460</w:t>
            </w:r>
          </w:p>
        </w:tc>
        <w:tc>
          <w:tcPr>
            <w:tcW w:w="742"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37,389</w:t>
            </w:r>
          </w:p>
        </w:tc>
        <w:tc>
          <w:tcPr>
            <w:tcW w:w="69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9,843</w:t>
            </w:r>
          </w:p>
        </w:tc>
        <w:tc>
          <w:tcPr>
            <w:tcW w:w="767"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51,692</w:t>
            </w:r>
          </w:p>
        </w:tc>
        <w:tc>
          <w:tcPr>
            <w:tcW w:w="6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2,799</w:t>
            </w:r>
          </w:p>
        </w:tc>
        <w:tc>
          <w:tcPr>
            <w:tcW w:w="656"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15,080</w:t>
            </w:r>
          </w:p>
        </w:tc>
        <w:tc>
          <w:tcPr>
            <w:tcW w:w="67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5,270</w:t>
            </w:r>
          </w:p>
        </w:tc>
        <w:tc>
          <w:tcPr>
            <w:tcW w:w="7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23,149</w:t>
            </w:r>
          </w:p>
        </w:tc>
        <w:tc>
          <w:tcPr>
            <w:tcW w:w="678"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3,000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17,164</w:t>
            </w:r>
          </w:p>
        </w:tc>
        <w:tc>
          <w:tcPr>
            <w:tcW w:w="65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5,371</w:t>
            </w:r>
          </w:p>
        </w:tc>
        <w:tc>
          <w:tcPr>
            <w:tcW w:w="69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25,535</w:t>
            </w:r>
          </w:p>
        </w:tc>
        <w:tc>
          <w:tcPr>
            <w:tcW w:w="74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3,000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18,421</w:t>
            </w:r>
          </w:p>
        </w:tc>
        <w:tc>
          <w:tcPr>
            <w:tcW w:w="67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4,971</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26,392</w:t>
            </w:r>
          </w:p>
        </w:tc>
      </w:tr>
      <w:tr w:rsidR="003072DF" w:rsidRPr="003072DF" w:rsidTr="003072DF">
        <w:trPr>
          <w:trHeight w:val="420"/>
        </w:trPr>
        <w:tc>
          <w:tcPr>
            <w:tcW w:w="1395" w:type="dxa"/>
            <w:tcBorders>
              <w:top w:val="nil"/>
              <w:left w:val="single" w:sz="4" w:space="0" w:color="auto"/>
              <w:bottom w:val="single" w:sz="4" w:space="0" w:color="auto"/>
              <w:right w:val="nil"/>
            </w:tcBorders>
            <w:shd w:val="clear" w:color="auto" w:fill="auto"/>
            <w:vAlign w:val="bottom"/>
            <w:hideMark/>
          </w:tcPr>
          <w:p w:rsidR="003072DF" w:rsidRDefault="003072DF">
            <w:pPr>
              <w:jc w:val="center"/>
              <w:rPr>
                <w:rFonts w:ascii="Arial" w:hAnsi="Arial" w:cs="Arial"/>
                <w:b/>
                <w:bCs/>
                <w:sz w:val="16"/>
                <w:szCs w:val="16"/>
              </w:rPr>
            </w:pPr>
            <w:r>
              <w:rPr>
                <w:rFonts w:ascii="Arial" w:hAnsi="Arial" w:cs="Arial"/>
                <w:b/>
                <w:bCs/>
                <w:sz w:val="16"/>
                <w:szCs w:val="16"/>
              </w:rPr>
              <w:t>Izdaci za fin. Imovinu</w:t>
            </w:r>
          </w:p>
        </w:tc>
        <w:tc>
          <w:tcPr>
            <w:tcW w:w="735" w:type="dxa"/>
            <w:tcBorders>
              <w:top w:val="nil"/>
              <w:left w:val="single" w:sz="4" w:space="0" w:color="auto"/>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0,100</w:t>
            </w:r>
          </w:p>
        </w:tc>
        <w:tc>
          <w:tcPr>
            <w:tcW w:w="61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5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0,100</w:t>
            </w:r>
          </w:p>
        </w:tc>
        <w:tc>
          <w:tcPr>
            <w:tcW w:w="70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0,100</w:t>
            </w:r>
          </w:p>
        </w:tc>
        <w:tc>
          <w:tcPr>
            <w:tcW w:w="742"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9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767"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0,100</w:t>
            </w:r>
          </w:p>
        </w:tc>
        <w:tc>
          <w:tcPr>
            <w:tcW w:w="6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0,300</w:t>
            </w:r>
          </w:p>
        </w:tc>
        <w:tc>
          <w:tcPr>
            <w:tcW w:w="656"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7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7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0,300</w:t>
            </w:r>
          </w:p>
        </w:tc>
        <w:tc>
          <w:tcPr>
            <w:tcW w:w="678"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1,000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5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9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1,000</w:t>
            </w:r>
          </w:p>
        </w:tc>
        <w:tc>
          <w:tcPr>
            <w:tcW w:w="74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1,000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7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1,000</w:t>
            </w:r>
          </w:p>
        </w:tc>
      </w:tr>
      <w:tr w:rsidR="003072DF" w:rsidRPr="003072DF" w:rsidTr="003072DF">
        <w:trPr>
          <w:trHeight w:val="420"/>
        </w:trPr>
        <w:tc>
          <w:tcPr>
            <w:tcW w:w="1395" w:type="dxa"/>
            <w:tcBorders>
              <w:top w:val="nil"/>
              <w:left w:val="single" w:sz="4" w:space="0" w:color="auto"/>
              <w:bottom w:val="single" w:sz="4" w:space="0" w:color="auto"/>
              <w:right w:val="nil"/>
            </w:tcBorders>
            <w:shd w:val="clear" w:color="auto" w:fill="auto"/>
            <w:vAlign w:val="bottom"/>
            <w:hideMark/>
          </w:tcPr>
          <w:p w:rsidR="003072DF" w:rsidRDefault="003072DF">
            <w:pPr>
              <w:jc w:val="center"/>
              <w:rPr>
                <w:rFonts w:ascii="Arial" w:hAnsi="Arial" w:cs="Arial"/>
                <w:b/>
                <w:bCs/>
                <w:sz w:val="16"/>
                <w:szCs w:val="16"/>
              </w:rPr>
            </w:pPr>
            <w:r>
              <w:rPr>
                <w:rFonts w:ascii="Arial" w:hAnsi="Arial" w:cs="Arial"/>
                <w:b/>
                <w:bCs/>
                <w:sz w:val="16"/>
                <w:szCs w:val="16"/>
              </w:rPr>
              <w:t xml:space="preserve">Izdaci za otplata duga </w:t>
            </w:r>
          </w:p>
        </w:tc>
        <w:tc>
          <w:tcPr>
            <w:tcW w:w="735" w:type="dxa"/>
            <w:tcBorders>
              <w:top w:val="nil"/>
              <w:left w:val="single" w:sz="4" w:space="0" w:color="auto"/>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5,502</w:t>
            </w:r>
          </w:p>
        </w:tc>
        <w:tc>
          <w:tcPr>
            <w:tcW w:w="61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5,120</w:t>
            </w:r>
          </w:p>
        </w:tc>
        <w:tc>
          <w:tcPr>
            <w:tcW w:w="65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10,622</w:t>
            </w:r>
          </w:p>
        </w:tc>
        <w:tc>
          <w:tcPr>
            <w:tcW w:w="70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4,750</w:t>
            </w:r>
          </w:p>
        </w:tc>
        <w:tc>
          <w:tcPr>
            <w:tcW w:w="742"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6,194</w:t>
            </w:r>
          </w:p>
        </w:tc>
        <w:tc>
          <w:tcPr>
            <w:tcW w:w="69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767"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10,944</w:t>
            </w:r>
          </w:p>
        </w:tc>
        <w:tc>
          <w:tcPr>
            <w:tcW w:w="6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4,721</w:t>
            </w:r>
          </w:p>
        </w:tc>
        <w:tc>
          <w:tcPr>
            <w:tcW w:w="656"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5,595</w:t>
            </w:r>
          </w:p>
        </w:tc>
        <w:tc>
          <w:tcPr>
            <w:tcW w:w="67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7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10,316</w:t>
            </w:r>
          </w:p>
        </w:tc>
        <w:tc>
          <w:tcPr>
            <w:tcW w:w="678"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4,700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5,568</w:t>
            </w:r>
          </w:p>
        </w:tc>
        <w:tc>
          <w:tcPr>
            <w:tcW w:w="65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9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10,268</w:t>
            </w:r>
          </w:p>
        </w:tc>
        <w:tc>
          <w:tcPr>
            <w:tcW w:w="74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4,700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5,374</w:t>
            </w:r>
          </w:p>
        </w:tc>
        <w:tc>
          <w:tcPr>
            <w:tcW w:w="67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10,074</w:t>
            </w:r>
          </w:p>
        </w:tc>
      </w:tr>
      <w:tr w:rsidR="003072DF" w:rsidRPr="003072DF" w:rsidTr="003072DF">
        <w:trPr>
          <w:trHeight w:val="264"/>
        </w:trPr>
        <w:tc>
          <w:tcPr>
            <w:tcW w:w="1395" w:type="dxa"/>
            <w:tcBorders>
              <w:top w:val="nil"/>
              <w:left w:val="single" w:sz="4" w:space="0" w:color="auto"/>
              <w:bottom w:val="single" w:sz="4" w:space="0" w:color="auto"/>
              <w:right w:val="nil"/>
            </w:tcBorders>
            <w:shd w:val="clear" w:color="000000" w:fill="D9D9D9"/>
            <w:vAlign w:val="bottom"/>
            <w:hideMark/>
          </w:tcPr>
          <w:p w:rsidR="003072DF" w:rsidRDefault="003072DF">
            <w:pPr>
              <w:jc w:val="center"/>
              <w:rPr>
                <w:rFonts w:ascii="Arial" w:hAnsi="Arial" w:cs="Arial"/>
                <w:b/>
                <w:bCs/>
                <w:sz w:val="16"/>
                <w:szCs w:val="16"/>
              </w:rPr>
            </w:pPr>
            <w:r>
              <w:rPr>
                <w:rFonts w:ascii="Arial" w:hAnsi="Arial" w:cs="Arial"/>
                <w:b/>
                <w:bCs/>
                <w:sz w:val="16"/>
                <w:szCs w:val="16"/>
              </w:rPr>
              <w:t>UKUPNO</w:t>
            </w:r>
          </w:p>
        </w:tc>
        <w:tc>
          <w:tcPr>
            <w:tcW w:w="735" w:type="dxa"/>
            <w:tcBorders>
              <w:top w:val="nil"/>
              <w:left w:val="single" w:sz="4" w:space="0" w:color="auto"/>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200,019</w:t>
            </w:r>
          </w:p>
        </w:tc>
        <w:tc>
          <w:tcPr>
            <w:tcW w:w="613"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89,039</w:t>
            </w:r>
          </w:p>
        </w:tc>
        <w:tc>
          <w:tcPr>
            <w:tcW w:w="650"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134,228</w:t>
            </w:r>
          </w:p>
        </w:tc>
        <w:tc>
          <w:tcPr>
            <w:tcW w:w="663"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423,286</w:t>
            </w:r>
          </w:p>
        </w:tc>
        <w:tc>
          <w:tcPr>
            <w:tcW w:w="703"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211,428</w:t>
            </w:r>
          </w:p>
        </w:tc>
        <w:tc>
          <w:tcPr>
            <w:tcW w:w="742"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128,717</w:t>
            </w:r>
          </w:p>
        </w:tc>
        <w:tc>
          <w:tcPr>
            <w:tcW w:w="690"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131,611</w:t>
            </w:r>
          </w:p>
        </w:tc>
        <w:tc>
          <w:tcPr>
            <w:tcW w:w="767"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471,756</w:t>
            </w:r>
          </w:p>
        </w:tc>
        <w:tc>
          <w:tcPr>
            <w:tcW w:w="670"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200,953</w:t>
            </w:r>
          </w:p>
        </w:tc>
        <w:tc>
          <w:tcPr>
            <w:tcW w:w="656"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93,501</w:t>
            </w:r>
          </w:p>
        </w:tc>
        <w:tc>
          <w:tcPr>
            <w:tcW w:w="675"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113,252</w:t>
            </w:r>
          </w:p>
        </w:tc>
        <w:tc>
          <w:tcPr>
            <w:tcW w:w="770"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407,706</w:t>
            </w:r>
          </w:p>
        </w:tc>
        <w:tc>
          <w:tcPr>
            <w:tcW w:w="678"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206,007</w:t>
            </w:r>
          </w:p>
        </w:tc>
        <w:tc>
          <w:tcPr>
            <w:tcW w:w="584"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95,748</w:t>
            </w:r>
          </w:p>
        </w:tc>
        <w:tc>
          <w:tcPr>
            <w:tcW w:w="655"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120,835</w:t>
            </w:r>
          </w:p>
        </w:tc>
        <w:tc>
          <w:tcPr>
            <w:tcW w:w="691"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422,590</w:t>
            </w:r>
          </w:p>
        </w:tc>
        <w:tc>
          <w:tcPr>
            <w:tcW w:w="744"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214,028</w:t>
            </w:r>
          </w:p>
        </w:tc>
        <w:tc>
          <w:tcPr>
            <w:tcW w:w="584"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98,876</w:t>
            </w:r>
          </w:p>
        </w:tc>
        <w:tc>
          <w:tcPr>
            <w:tcW w:w="671"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116,919</w:t>
            </w:r>
          </w:p>
        </w:tc>
        <w:tc>
          <w:tcPr>
            <w:tcW w:w="663" w:type="dxa"/>
            <w:tcBorders>
              <w:top w:val="nil"/>
              <w:left w:val="nil"/>
              <w:bottom w:val="single" w:sz="4" w:space="0" w:color="auto"/>
              <w:right w:val="single" w:sz="4" w:space="0" w:color="auto"/>
            </w:tcBorders>
            <w:shd w:val="clear" w:color="000000" w:fill="D9D9D9"/>
            <w:hideMark/>
          </w:tcPr>
          <w:p w:rsidR="003072DF" w:rsidRPr="003072DF" w:rsidRDefault="003072DF">
            <w:pPr>
              <w:jc w:val="right"/>
              <w:rPr>
                <w:b/>
                <w:bCs/>
                <w:sz w:val="12"/>
                <w:szCs w:val="12"/>
              </w:rPr>
            </w:pPr>
            <w:r w:rsidRPr="003072DF">
              <w:rPr>
                <w:b/>
                <w:bCs/>
                <w:sz w:val="12"/>
                <w:szCs w:val="12"/>
              </w:rPr>
              <w:t>429,823</w:t>
            </w:r>
          </w:p>
        </w:tc>
      </w:tr>
      <w:tr w:rsidR="003072DF" w:rsidRPr="003072DF" w:rsidTr="003072DF">
        <w:trPr>
          <w:trHeight w:val="264"/>
        </w:trPr>
        <w:tc>
          <w:tcPr>
            <w:tcW w:w="1395" w:type="dxa"/>
            <w:tcBorders>
              <w:top w:val="nil"/>
              <w:left w:val="nil"/>
              <w:bottom w:val="nil"/>
              <w:right w:val="nil"/>
            </w:tcBorders>
            <w:shd w:val="clear" w:color="000000" w:fill="D9D9D9"/>
            <w:vAlign w:val="bottom"/>
            <w:hideMark/>
          </w:tcPr>
          <w:p w:rsidR="003072DF" w:rsidRDefault="003072DF">
            <w:pPr>
              <w:jc w:val="center"/>
              <w:rPr>
                <w:rFonts w:ascii="Arial" w:hAnsi="Arial" w:cs="Arial"/>
                <w:b/>
                <w:bCs/>
                <w:sz w:val="16"/>
                <w:szCs w:val="16"/>
              </w:rPr>
            </w:pPr>
            <w:r>
              <w:rPr>
                <w:rFonts w:ascii="Arial" w:hAnsi="Arial" w:cs="Arial"/>
                <w:b/>
                <w:bCs/>
                <w:sz w:val="16"/>
                <w:szCs w:val="16"/>
              </w:rPr>
              <w:t>stare obaveze</w:t>
            </w:r>
          </w:p>
        </w:tc>
        <w:tc>
          <w:tcPr>
            <w:tcW w:w="735" w:type="dxa"/>
            <w:tcBorders>
              <w:top w:val="nil"/>
              <w:left w:val="single" w:sz="4" w:space="0" w:color="auto"/>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1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27,182</w:t>
            </w:r>
          </w:p>
        </w:tc>
        <w:tc>
          <w:tcPr>
            <w:tcW w:w="65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27,182</w:t>
            </w:r>
          </w:p>
        </w:tc>
        <w:tc>
          <w:tcPr>
            <w:tcW w:w="70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5,100</w:t>
            </w:r>
          </w:p>
        </w:tc>
        <w:tc>
          <w:tcPr>
            <w:tcW w:w="742"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0,540</w:t>
            </w:r>
          </w:p>
        </w:tc>
        <w:tc>
          <w:tcPr>
            <w:tcW w:w="69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767"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5,640</w:t>
            </w:r>
          </w:p>
        </w:tc>
        <w:tc>
          <w:tcPr>
            <w:tcW w:w="6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6,000</w:t>
            </w:r>
          </w:p>
        </w:tc>
        <w:tc>
          <w:tcPr>
            <w:tcW w:w="656"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0,480</w:t>
            </w:r>
          </w:p>
        </w:tc>
        <w:tc>
          <w:tcPr>
            <w:tcW w:w="67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770"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6,480</w:t>
            </w:r>
          </w:p>
        </w:tc>
        <w:tc>
          <w:tcPr>
            <w:tcW w:w="678"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6,000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0,200</w:t>
            </w:r>
          </w:p>
        </w:tc>
        <w:tc>
          <w:tcPr>
            <w:tcW w:w="655"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9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6,200</w:t>
            </w:r>
          </w:p>
        </w:tc>
        <w:tc>
          <w:tcPr>
            <w:tcW w:w="74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6,000</w:t>
            </w:r>
          </w:p>
        </w:tc>
        <w:tc>
          <w:tcPr>
            <w:tcW w:w="584"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71"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0,000</w:t>
            </w:r>
          </w:p>
        </w:tc>
        <w:tc>
          <w:tcPr>
            <w:tcW w:w="663" w:type="dxa"/>
            <w:tcBorders>
              <w:top w:val="nil"/>
              <w:left w:val="nil"/>
              <w:bottom w:val="single" w:sz="4" w:space="0" w:color="auto"/>
              <w:right w:val="single" w:sz="4" w:space="0" w:color="auto"/>
            </w:tcBorders>
            <w:shd w:val="clear" w:color="auto" w:fill="auto"/>
            <w:hideMark/>
          </w:tcPr>
          <w:p w:rsidR="003072DF" w:rsidRPr="003072DF" w:rsidRDefault="003072DF">
            <w:pPr>
              <w:jc w:val="right"/>
              <w:rPr>
                <w:sz w:val="12"/>
                <w:szCs w:val="12"/>
              </w:rPr>
            </w:pPr>
            <w:r w:rsidRPr="003072DF">
              <w:rPr>
                <w:sz w:val="12"/>
                <w:szCs w:val="12"/>
              </w:rPr>
              <w:t>6,000</w:t>
            </w:r>
          </w:p>
        </w:tc>
      </w:tr>
    </w:tbl>
    <w:p w:rsidR="008E77B8" w:rsidRPr="00D27CB6" w:rsidRDefault="008E77B8" w:rsidP="006E76ED">
      <w:pPr>
        <w:tabs>
          <w:tab w:val="left" w:pos="3915"/>
        </w:tabs>
        <w:rPr>
          <w:b/>
          <w:sz w:val="20"/>
          <w:lang w:val="hr-BA"/>
        </w:rPr>
      </w:pPr>
    </w:p>
    <w:p w:rsidR="0011111D" w:rsidRDefault="0011111D" w:rsidP="0011111D">
      <w:pPr>
        <w:rPr>
          <w:sz w:val="24"/>
          <w:szCs w:val="24"/>
          <w:lang w:val="hr-HR" w:eastAsia="hr-HR"/>
        </w:rPr>
      </w:pPr>
    </w:p>
    <w:p w:rsidR="0011111D" w:rsidRDefault="0011111D" w:rsidP="0011111D">
      <w:pPr>
        <w:rPr>
          <w:sz w:val="24"/>
          <w:szCs w:val="24"/>
          <w:lang w:val="hr-HR" w:eastAsia="hr-HR"/>
        </w:rPr>
      </w:pPr>
    </w:p>
    <w:p w:rsidR="0011111D" w:rsidRDefault="0011111D" w:rsidP="0011111D">
      <w:pPr>
        <w:rPr>
          <w:sz w:val="24"/>
          <w:szCs w:val="24"/>
          <w:lang w:val="hr-HR" w:eastAsia="hr-HR"/>
        </w:rPr>
      </w:pPr>
    </w:p>
    <w:p w:rsidR="00A56B71" w:rsidRDefault="006D58BE" w:rsidP="006D58BE">
      <w:pPr>
        <w:tabs>
          <w:tab w:val="left" w:pos="312"/>
          <w:tab w:val="left" w:pos="546"/>
        </w:tabs>
        <w:ind w:left="435"/>
        <w:jc w:val="both"/>
        <w:rPr>
          <w:noProof/>
          <w:sz w:val="28"/>
          <w:szCs w:val="28"/>
        </w:rPr>
      </w:pPr>
      <w:r>
        <w:rPr>
          <w:noProof/>
          <w:sz w:val="28"/>
          <w:szCs w:val="28"/>
        </w:rPr>
        <w:t xml:space="preserve">              </w:t>
      </w:r>
    </w:p>
    <w:p w:rsidR="005F4519" w:rsidRPr="00A80872" w:rsidRDefault="005F4519" w:rsidP="005F4519">
      <w:pPr>
        <w:tabs>
          <w:tab w:val="left" w:pos="312"/>
          <w:tab w:val="left" w:pos="546"/>
        </w:tabs>
        <w:jc w:val="both"/>
        <w:rPr>
          <w:noProof/>
          <w:sz w:val="28"/>
          <w:szCs w:val="28"/>
        </w:rPr>
      </w:pPr>
      <w:bookmarkStart w:id="91" w:name="_Toc42673669"/>
      <w:r>
        <w:rPr>
          <w:sz w:val="24"/>
          <w:szCs w:val="24"/>
        </w:rPr>
        <w:t xml:space="preserve">              </w:t>
      </w:r>
      <w:r w:rsidR="00A56B71" w:rsidRPr="00AF0857">
        <w:rPr>
          <w:sz w:val="24"/>
          <w:szCs w:val="24"/>
        </w:rPr>
        <w:t xml:space="preserve">Tabela </w:t>
      </w:r>
      <w:r w:rsidR="00A56B71">
        <w:rPr>
          <w:i/>
        </w:rPr>
        <w:t>:</w:t>
      </w:r>
      <w:r w:rsidR="00A56B71" w:rsidRPr="00AF0857">
        <w:rPr>
          <w:sz w:val="24"/>
          <w:szCs w:val="24"/>
        </w:rPr>
        <w:t xml:space="preserve"> </w:t>
      </w:r>
      <w:bookmarkEnd w:id="91"/>
      <w:r w:rsidRPr="005F4519">
        <w:rPr>
          <w:noProof/>
          <w:sz w:val="24"/>
          <w:szCs w:val="24"/>
        </w:rPr>
        <w:t>Pregled projekata u implementaciji za Program javnih investicija Unsko-sanskog kantona 2021-2023.</w:t>
      </w:r>
    </w:p>
    <w:p w:rsidR="00A56B71" w:rsidRPr="00AF0857" w:rsidRDefault="00A56B71" w:rsidP="00A56B71">
      <w:pPr>
        <w:pStyle w:val="Caption"/>
        <w:keepNext/>
        <w:rPr>
          <w:rFonts w:ascii="Times New Roman" w:hAnsi="Times New Roman" w:cs="Times New Roman"/>
          <w:i w:val="0"/>
        </w:rPr>
      </w:pPr>
    </w:p>
    <w:tbl>
      <w:tblPr>
        <w:tblW w:w="105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2640"/>
        <w:gridCol w:w="1274"/>
        <w:gridCol w:w="1329"/>
        <w:gridCol w:w="1378"/>
        <w:gridCol w:w="1206"/>
        <w:gridCol w:w="1206"/>
        <w:gridCol w:w="1096"/>
        <w:gridCol w:w="1182"/>
      </w:tblGrid>
      <w:tr w:rsidR="00A56B71" w:rsidRPr="008A6F48" w:rsidTr="005F4519">
        <w:trPr>
          <w:trHeight w:val="1320"/>
        </w:trPr>
        <w:tc>
          <w:tcPr>
            <w:tcW w:w="1440" w:type="dxa"/>
            <w:shd w:val="clear" w:color="000000" w:fill="FFFFEF"/>
            <w:vAlign w:val="bottom"/>
            <w:hideMark/>
          </w:tcPr>
          <w:p w:rsidR="00A56B71" w:rsidRPr="008A6F48" w:rsidRDefault="00A56B71" w:rsidP="005F4519">
            <w:pPr>
              <w:jc w:val="center"/>
              <w:rPr>
                <w:b/>
                <w:color w:val="000000"/>
                <w:lang w:val="hr-HR" w:eastAsia="hr-HR"/>
              </w:rPr>
            </w:pPr>
            <w:r w:rsidRPr="008A6F48">
              <w:rPr>
                <w:b/>
                <w:color w:val="000000"/>
                <w:lang w:val="hr-HR" w:eastAsia="hr-HR"/>
              </w:rPr>
              <w:t>Podnositelj</w:t>
            </w:r>
          </w:p>
        </w:tc>
        <w:tc>
          <w:tcPr>
            <w:tcW w:w="2640" w:type="dxa"/>
            <w:shd w:val="clear" w:color="000000" w:fill="FFFFEF"/>
            <w:vAlign w:val="bottom"/>
            <w:hideMark/>
          </w:tcPr>
          <w:p w:rsidR="00A56B71" w:rsidRPr="008A6F48" w:rsidRDefault="00A56B71" w:rsidP="005F4519">
            <w:pPr>
              <w:jc w:val="center"/>
              <w:rPr>
                <w:b/>
                <w:color w:val="000000"/>
                <w:lang w:val="hr-HR" w:eastAsia="hr-HR"/>
              </w:rPr>
            </w:pPr>
            <w:r w:rsidRPr="008A6F48">
              <w:rPr>
                <w:b/>
                <w:color w:val="000000"/>
                <w:lang w:val="hr-HR" w:eastAsia="hr-HR"/>
              </w:rPr>
              <w:t>Naziv projekta</w:t>
            </w:r>
          </w:p>
        </w:tc>
        <w:tc>
          <w:tcPr>
            <w:tcW w:w="920" w:type="dxa"/>
            <w:shd w:val="clear" w:color="000000" w:fill="FFFFEF"/>
            <w:vAlign w:val="bottom"/>
            <w:hideMark/>
          </w:tcPr>
          <w:p w:rsidR="00A56B71" w:rsidRPr="008A6F48" w:rsidRDefault="00A56B71" w:rsidP="005F4519">
            <w:pPr>
              <w:jc w:val="center"/>
              <w:rPr>
                <w:b/>
                <w:color w:val="000000"/>
                <w:lang w:val="hr-HR" w:eastAsia="hr-HR"/>
              </w:rPr>
            </w:pPr>
            <w:r w:rsidRPr="008A6F48">
              <w:rPr>
                <w:b/>
                <w:color w:val="000000"/>
                <w:lang w:val="hr-HR" w:eastAsia="hr-HR"/>
              </w:rPr>
              <w:t>Vrijednost, u KM</w:t>
            </w:r>
          </w:p>
        </w:tc>
        <w:tc>
          <w:tcPr>
            <w:tcW w:w="1000" w:type="dxa"/>
            <w:shd w:val="clear" w:color="000000" w:fill="FFFFEF"/>
            <w:vAlign w:val="bottom"/>
            <w:hideMark/>
          </w:tcPr>
          <w:p w:rsidR="00A56B71" w:rsidRPr="008A6F48" w:rsidRDefault="00A56B71" w:rsidP="005F4519">
            <w:pPr>
              <w:jc w:val="center"/>
              <w:rPr>
                <w:b/>
                <w:color w:val="000000"/>
                <w:lang w:val="hr-HR" w:eastAsia="hr-HR"/>
              </w:rPr>
            </w:pPr>
            <w:r w:rsidRPr="008A6F48">
              <w:rPr>
                <w:b/>
                <w:color w:val="000000"/>
                <w:lang w:val="hr-HR" w:eastAsia="hr-HR"/>
              </w:rPr>
              <w:t>Utrošeno u prethodnim godinama</w:t>
            </w:r>
          </w:p>
        </w:tc>
        <w:tc>
          <w:tcPr>
            <w:tcW w:w="960" w:type="dxa"/>
            <w:shd w:val="clear" w:color="000000" w:fill="FFFFEF"/>
            <w:vAlign w:val="bottom"/>
            <w:hideMark/>
          </w:tcPr>
          <w:p w:rsidR="00A56B71" w:rsidRPr="008A6F48" w:rsidRDefault="00A56B71" w:rsidP="005F4519">
            <w:pPr>
              <w:jc w:val="center"/>
              <w:rPr>
                <w:b/>
                <w:color w:val="000000"/>
                <w:lang w:val="hr-HR" w:eastAsia="hr-HR"/>
              </w:rPr>
            </w:pPr>
            <w:r w:rsidRPr="008A6F48">
              <w:rPr>
                <w:b/>
                <w:color w:val="000000"/>
                <w:lang w:val="hr-HR" w:eastAsia="hr-HR"/>
              </w:rPr>
              <w:t>Nedostajuća sredstva</w:t>
            </w:r>
          </w:p>
        </w:tc>
        <w:tc>
          <w:tcPr>
            <w:tcW w:w="960" w:type="dxa"/>
            <w:shd w:val="clear" w:color="000000" w:fill="FFFFEF"/>
            <w:vAlign w:val="bottom"/>
            <w:hideMark/>
          </w:tcPr>
          <w:p w:rsidR="00A56B71" w:rsidRPr="008A6F48" w:rsidRDefault="00A56B71" w:rsidP="005F4519">
            <w:pPr>
              <w:jc w:val="center"/>
              <w:rPr>
                <w:b/>
                <w:color w:val="000000"/>
                <w:lang w:val="hr-HR" w:eastAsia="hr-HR"/>
              </w:rPr>
            </w:pPr>
            <w:r w:rsidRPr="008A6F48">
              <w:rPr>
                <w:b/>
                <w:color w:val="000000"/>
                <w:lang w:val="hr-HR" w:eastAsia="hr-HR"/>
              </w:rPr>
              <w:t>2021.</w:t>
            </w:r>
          </w:p>
        </w:tc>
        <w:tc>
          <w:tcPr>
            <w:tcW w:w="860" w:type="dxa"/>
            <w:shd w:val="clear" w:color="000000" w:fill="FFFFEF"/>
            <w:vAlign w:val="bottom"/>
            <w:hideMark/>
          </w:tcPr>
          <w:p w:rsidR="00A56B71" w:rsidRPr="008A6F48" w:rsidRDefault="00A56B71" w:rsidP="005F4519">
            <w:pPr>
              <w:jc w:val="center"/>
              <w:rPr>
                <w:b/>
                <w:color w:val="000000"/>
                <w:lang w:val="hr-HR" w:eastAsia="hr-HR"/>
              </w:rPr>
            </w:pPr>
            <w:r w:rsidRPr="008A6F48">
              <w:rPr>
                <w:b/>
                <w:color w:val="000000"/>
                <w:lang w:val="hr-HR" w:eastAsia="hr-HR"/>
              </w:rPr>
              <w:t>2022.</w:t>
            </w:r>
          </w:p>
        </w:tc>
        <w:tc>
          <w:tcPr>
            <w:tcW w:w="840" w:type="dxa"/>
            <w:shd w:val="clear" w:color="000000" w:fill="FFFFEF"/>
            <w:vAlign w:val="bottom"/>
            <w:hideMark/>
          </w:tcPr>
          <w:p w:rsidR="00A56B71" w:rsidRPr="008A6F48" w:rsidRDefault="00A56B71" w:rsidP="005F4519">
            <w:pPr>
              <w:jc w:val="center"/>
              <w:rPr>
                <w:b/>
                <w:color w:val="000000"/>
                <w:lang w:val="hr-HR" w:eastAsia="hr-HR"/>
              </w:rPr>
            </w:pPr>
            <w:r w:rsidRPr="008A6F48">
              <w:rPr>
                <w:b/>
                <w:color w:val="000000"/>
                <w:lang w:val="hr-HR" w:eastAsia="hr-HR"/>
              </w:rPr>
              <w:t>2023.</w:t>
            </w:r>
          </w:p>
        </w:tc>
        <w:tc>
          <w:tcPr>
            <w:tcW w:w="880" w:type="dxa"/>
            <w:shd w:val="clear" w:color="000000" w:fill="FFFFEF"/>
            <w:vAlign w:val="bottom"/>
            <w:hideMark/>
          </w:tcPr>
          <w:p w:rsidR="00A56B71" w:rsidRPr="008A6F48" w:rsidRDefault="00A56B71" w:rsidP="005F4519">
            <w:pPr>
              <w:jc w:val="center"/>
              <w:rPr>
                <w:b/>
                <w:color w:val="000000"/>
                <w:lang w:val="hr-HR" w:eastAsia="hr-HR"/>
              </w:rPr>
            </w:pPr>
            <w:r w:rsidRPr="008A6F48">
              <w:rPr>
                <w:b/>
                <w:color w:val="000000"/>
                <w:lang w:val="hr-HR" w:eastAsia="hr-HR"/>
              </w:rPr>
              <w:t>Planirano u narednom periodu</w:t>
            </w:r>
          </w:p>
        </w:tc>
      </w:tr>
      <w:tr w:rsidR="00A56B71" w:rsidRPr="008A6F48" w:rsidTr="005F4519">
        <w:trPr>
          <w:trHeight w:val="240"/>
        </w:trPr>
        <w:tc>
          <w:tcPr>
            <w:tcW w:w="1440" w:type="dxa"/>
            <w:vMerge w:val="restart"/>
            <w:shd w:val="clear" w:color="000000" w:fill="FFFFFF"/>
            <w:hideMark/>
          </w:tcPr>
          <w:p w:rsidR="00A56B71" w:rsidRPr="008A6F48" w:rsidRDefault="00A56B71" w:rsidP="005F4519">
            <w:pPr>
              <w:rPr>
                <w:color w:val="000000"/>
                <w:lang w:val="hr-HR" w:eastAsia="hr-HR"/>
              </w:rPr>
            </w:pPr>
            <w:r w:rsidRPr="008A6F48">
              <w:rPr>
                <w:color w:val="000000"/>
                <w:lang w:val="hr-HR" w:eastAsia="hr-HR"/>
              </w:rPr>
              <w:t>Grad Bihać</w:t>
            </w: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Izgradnja kanalizacije u naselju Veliki Lug</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300.000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150.000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64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Izgradnja kanalizacione mreže s pratećom komunalnom infrastrukturom za dio Trga maršala Tita i dijela Centra</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1.300.000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650.000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270.000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390.000</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560.000</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43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Izgradnja oborinske kanalizacije i rekonstrukcija saobraćajnice u naselju Čavkići</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400.000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95.000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105.000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105.000</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43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Izgradnja oborinske kanalizacije u naselju "Luke" Bihać</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250.000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125.000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43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Izgradnja vodovodne mreže Orašac – Ćelije – Štrbački buk</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430.000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64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Izrada Studije uspostave zaštitnih zona izvorišta Klokot (Bihać) presječenih međudržavnom granicom BiH i RH</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1.466.872</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664.982</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240"/>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Rekonstrukcija javne rasvjete</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2.275.000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585.989</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1.689.011</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422.253</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422.252</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422.252</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422.252</w:t>
            </w:r>
          </w:p>
        </w:tc>
      </w:tr>
      <w:tr w:rsidR="00A56B71" w:rsidRPr="008A6F48" w:rsidTr="005F4519">
        <w:trPr>
          <w:trHeight w:val="43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 xml:space="preserve">Smanjenje fizičkih gubitaka u vodovodnoj </w:t>
            </w:r>
            <w:r w:rsidRPr="008A6F48">
              <w:rPr>
                <w:color w:val="000000"/>
                <w:lang w:val="hr-HR" w:eastAsia="hr-HR"/>
              </w:rPr>
              <w:lastRenderedPageBreak/>
              <w:t>mreži</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lastRenderedPageBreak/>
              <w:t>928.048</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400.000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528.048</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528.048</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43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Zamjena pumpnog postrojenja na izvorištu Klokot</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500.000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269.500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269.500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435"/>
        </w:trPr>
        <w:tc>
          <w:tcPr>
            <w:tcW w:w="1440" w:type="dxa"/>
            <w:vMerge w:val="restart"/>
            <w:shd w:val="clear" w:color="000000" w:fill="FFFFFF"/>
            <w:hideMark/>
          </w:tcPr>
          <w:p w:rsidR="00A56B71" w:rsidRPr="008A6F48" w:rsidRDefault="00A56B71" w:rsidP="005F4519">
            <w:pPr>
              <w:rPr>
                <w:color w:val="000000"/>
                <w:lang w:val="hr-HR" w:eastAsia="hr-HR"/>
              </w:rPr>
            </w:pPr>
            <w:r w:rsidRPr="008A6F48">
              <w:rPr>
                <w:color w:val="000000"/>
                <w:lang w:val="hr-HR" w:eastAsia="hr-HR"/>
              </w:rPr>
              <w:t>JU Razvojna agencija Unsko-sanskog kantona RAUSK</w:t>
            </w: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COSME EEN ''Mreža poslovno-inovacijske tehnologije – BITNET''</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98.286</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39.314</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49.143</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64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Evropski med-klasteri jačaju isplativu agro-vinsku cirkularnu ekonomiju-EMBRACE</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326.056</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163.314</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64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Jačanje tržišta energije iz drvne biomase kao ključ regionalne energetske tranzicije – WOOD KEY</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220.304</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33.046</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74.149</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74.149</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240"/>
        </w:trPr>
        <w:tc>
          <w:tcPr>
            <w:tcW w:w="1440" w:type="dxa"/>
            <w:vMerge w:val="restart"/>
            <w:shd w:val="clear" w:color="000000" w:fill="FFFFFF"/>
            <w:hideMark/>
          </w:tcPr>
          <w:p w:rsidR="00A56B71" w:rsidRPr="008A6F48" w:rsidRDefault="00A56B71" w:rsidP="005F4519">
            <w:pPr>
              <w:rPr>
                <w:color w:val="000000"/>
                <w:lang w:val="hr-HR" w:eastAsia="hr-HR"/>
              </w:rPr>
            </w:pPr>
            <w:r w:rsidRPr="008A6F48">
              <w:rPr>
                <w:color w:val="000000"/>
                <w:lang w:val="hr-HR" w:eastAsia="hr-HR"/>
              </w:rPr>
              <w:t>Općina Bosanska Krupa</w:t>
            </w: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Izgradnja zgrade Gimnazije II faza</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1.250.000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550.000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275.000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275.000</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64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Realizacija projekta odvodnje otpadnih voda u općini Bosanska Krupa-Faza I</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6.974.382</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2.845.298</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3.878.743</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43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Sanacija i prilagođavanje deponije „Meždre – Vlaški do“</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9.561.768</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659.800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9.335.469</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1.696.270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1.652.900</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1.650.685</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3.827.714</w:t>
            </w:r>
          </w:p>
        </w:tc>
      </w:tr>
      <w:tr w:rsidR="00A56B71" w:rsidRPr="008A6F48" w:rsidTr="005F4519">
        <w:trPr>
          <w:trHeight w:val="43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Unapređenje poslovne zone "Vatreni mlin" u Bosanskoj Krupi</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500.000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200.000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300.000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150.000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150.000</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64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Zamjena postojeće javne rasvjete na području općine Bosanska Krupa led rasvjetom</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1.200.000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240.000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240.000</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240.000</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240.000</w:t>
            </w:r>
          </w:p>
        </w:tc>
      </w:tr>
      <w:tr w:rsidR="00A56B71" w:rsidRPr="008A6F48" w:rsidTr="005F4519">
        <w:trPr>
          <w:trHeight w:val="435"/>
        </w:trPr>
        <w:tc>
          <w:tcPr>
            <w:tcW w:w="1440" w:type="dxa"/>
            <w:vMerge w:val="restart"/>
            <w:shd w:val="clear" w:color="000000" w:fill="FFFFFF"/>
            <w:hideMark/>
          </w:tcPr>
          <w:p w:rsidR="00A56B71" w:rsidRPr="008A6F48" w:rsidRDefault="00A56B71" w:rsidP="005F4519">
            <w:pPr>
              <w:rPr>
                <w:color w:val="000000"/>
                <w:lang w:val="hr-HR" w:eastAsia="hr-HR"/>
              </w:rPr>
            </w:pPr>
            <w:r w:rsidRPr="008A6F48">
              <w:rPr>
                <w:color w:val="000000"/>
                <w:lang w:val="hr-HR" w:eastAsia="hr-HR"/>
              </w:rPr>
              <w:t>Općina Bosanski Petrovac</w:t>
            </w: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Izgradnja poslovne zone ˝Gorinčani˝ Bosanski Petrovac</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1.941.168</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1.375.801</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565.367</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168.030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168.030</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164.783</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64.524</w:t>
            </w:r>
          </w:p>
        </w:tc>
      </w:tr>
      <w:tr w:rsidR="00A56B71" w:rsidRPr="008A6F48" w:rsidTr="005F4519">
        <w:trPr>
          <w:trHeight w:val="106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Rekonstrukcija i izgradnja kanalizacione mreže Bosanski Petrovac i postrojenja za prečišćavanje otpadnih voda - I Faza</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13.840.429</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4.375.469</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6.593.637</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1.296.046</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64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Rekonstrukcija i izgradnja vodovodne mreže urbanog područja općine Bosanski Petrovac</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715.884</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295.233</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420.650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142.810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141.379</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240"/>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Sanacija deponije „Vaganac˝</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3.975.617</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52.140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3.923.477</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980.869</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980.869</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980.869</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980.869</w:t>
            </w:r>
          </w:p>
        </w:tc>
      </w:tr>
      <w:tr w:rsidR="00A56B71" w:rsidRPr="008A6F48" w:rsidTr="005F4519">
        <w:trPr>
          <w:trHeight w:val="435"/>
        </w:trPr>
        <w:tc>
          <w:tcPr>
            <w:tcW w:w="14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Općina Bužim</w:t>
            </w: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Završetak objekta vatrogasnog doma Bužim</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140.000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130.000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65.000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65.000</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435"/>
        </w:trPr>
        <w:tc>
          <w:tcPr>
            <w:tcW w:w="1440" w:type="dxa"/>
            <w:shd w:val="clear" w:color="000000" w:fill="FFFFFF"/>
            <w:hideMark/>
          </w:tcPr>
          <w:p w:rsidR="00A56B71" w:rsidRPr="008A6F48" w:rsidRDefault="00A56B71" w:rsidP="005F4519">
            <w:pPr>
              <w:rPr>
                <w:color w:val="000000"/>
                <w:lang w:val="hr-HR" w:eastAsia="hr-HR"/>
              </w:rPr>
            </w:pPr>
            <w:r>
              <w:rPr>
                <w:color w:val="000000"/>
                <w:lang w:val="hr-HR" w:eastAsia="hr-HR"/>
              </w:rPr>
              <w:t>Grad</w:t>
            </w:r>
            <w:r w:rsidRPr="008A6F48">
              <w:rPr>
                <w:color w:val="000000"/>
                <w:lang w:val="hr-HR" w:eastAsia="hr-HR"/>
              </w:rPr>
              <w:t xml:space="preserve"> Cazin</w:t>
            </w: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Obnova nacionalnog spomenika „Kuća Nurije Pozderca“</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400.000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194.000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50.000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194.000</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435"/>
        </w:trPr>
        <w:tc>
          <w:tcPr>
            <w:tcW w:w="1440" w:type="dxa"/>
            <w:vMerge w:val="restart"/>
            <w:shd w:val="clear" w:color="000000" w:fill="FFFFFF"/>
            <w:hideMark/>
          </w:tcPr>
          <w:p w:rsidR="00A56B71" w:rsidRPr="008A6F48" w:rsidRDefault="00A56B71" w:rsidP="005F4519">
            <w:pPr>
              <w:rPr>
                <w:color w:val="000000"/>
                <w:lang w:val="hr-HR" w:eastAsia="hr-HR"/>
              </w:rPr>
            </w:pPr>
            <w:r w:rsidRPr="008A6F48">
              <w:rPr>
                <w:color w:val="000000"/>
                <w:lang w:val="hr-HR" w:eastAsia="hr-HR"/>
              </w:rPr>
              <w:t>Općina Ključ</w:t>
            </w: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Dugoročno rješenje vodosnabdijevanja Općine Ključ</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12.000.000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7.170.000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430.000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1.190.000</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2.175.000</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43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Izgradnja i uređenje sportskih terena na području općine Ključ</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118.000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50.678</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42.322</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21.161</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21.161</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43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Uređenje gradskog mezarja na novoj lokaciji - Huskići</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250.000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53.184</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184.506</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61.502</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61.502</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61.502</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435"/>
        </w:trPr>
        <w:tc>
          <w:tcPr>
            <w:tcW w:w="1440" w:type="dxa"/>
            <w:vMerge w:val="restart"/>
            <w:shd w:val="clear" w:color="000000" w:fill="FFFFFF"/>
            <w:hideMark/>
          </w:tcPr>
          <w:p w:rsidR="00A56B71" w:rsidRPr="008A6F48" w:rsidRDefault="00A56B71" w:rsidP="005F4519">
            <w:pPr>
              <w:rPr>
                <w:color w:val="000000"/>
                <w:lang w:val="hr-HR" w:eastAsia="hr-HR"/>
              </w:rPr>
            </w:pPr>
            <w:r w:rsidRPr="008A6F48">
              <w:rPr>
                <w:color w:val="000000"/>
                <w:lang w:val="hr-HR" w:eastAsia="hr-HR"/>
              </w:rPr>
              <w:t>Općina Velika Kladuša</w:t>
            </w: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JU Centar za kulturu i obrazovanje „Zuhdija Žalić“</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1.500.000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500.000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500.000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545.053</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64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Zatvaranje kolektivnih centara alternativnog smještaja u općini Velika Kladuša</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1.676.000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1.526.000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645"/>
        </w:trPr>
        <w:tc>
          <w:tcPr>
            <w:tcW w:w="1440" w:type="dxa"/>
            <w:vMerge w:val="restart"/>
            <w:shd w:val="clear" w:color="000000" w:fill="FFFFFF"/>
            <w:hideMark/>
          </w:tcPr>
          <w:p w:rsidR="00A56B71" w:rsidRPr="008C7B79" w:rsidRDefault="00A56B71" w:rsidP="005F4519">
            <w:pPr>
              <w:rPr>
                <w:color w:val="000000"/>
                <w:lang w:val="hr-HR" w:eastAsia="hr-HR"/>
              </w:rPr>
            </w:pPr>
            <w:r w:rsidRPr="008C7B79">
              <w:rPr>
                <w:szCs w:val="24"/>
              </w:rPr>
              <w:t>Ministarstv</w:t>
            </w:r>
            <w:r>
              <w:rPr>
                <w:szCs w:val="24"/>
              </w:rPr>
              <w:t>o</w:t>
            </w:r>
            <w:r w:rsidRPr="008C7B79">
              <w:rPr>
                <w:szCs w:val="24"/>
              </w:rPr>
              <w:t xml:space="preserve"> obrazovanja, nauke, kulture i sporta USK</w:t>
            </w: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Bolja energetska i ekonomska efikasnost Objekat JU OŠ ˝Ahmet Hromadžić˝ Bosanski Petrovac</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501.259</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160.000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341.259</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180.000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120.629</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120.630</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43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Dogradnja područne škole Ljubijankići</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525.517</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245.517</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280.000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180.000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100.000</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43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Izgradnja i rekonstrukcija fiskulturne sale</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250.000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150.000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100.000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100.000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64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Izgradnja osnovne škole sa fiskulturnom salom JU OŠ ˝Cazin I˝</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2.258.093</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464.327</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538.093</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240"/>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Izgradnja područne škole Majetići</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594.025</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92.331</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410.978</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200.000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110.978</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64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Izgradnja područne škole Ponjevići JU OŠ ˝Gornja Koprivna˝ Općina Cazin</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377.000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377.000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177.000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100.000</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100.000</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64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Primjena mjera energetske efikasnosti OŠ "Mirsad Salkić" Čava</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220.000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170.000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50.000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645"/>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Reinstalacija centralnog grijanja i kotlova; Rekonstrukcija podova za područnu školu</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100.000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60.000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40.000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40.000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240"/>
        </w:trPr>
        <w:tc>
          <w:tcPr>
            <w:tcW w:w="1440" w:type="dxa"/>
            <w:vMerge/>
            <w:vAlign w:val="center"/>
            <w:hideMark/>
          </w:tcPr>
          <w:p w:rsidR="00A56B71" w:rsidRPr="008A6F48" w:rsidRDefault="00A56B71" w:rsidP="005F4519">
            <w:pPr>
              <w:rPr>
                <w:color w:val="000000"/>
                <w:lang w:val="hr-HR" w:eastAsia="hr-HR"/>
              </w:rPr>
            </w:pP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Školska sportska dvorana</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589.790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379.790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379.790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645"/>
        </w:trPr>
        <w:tc>
          <w:tcPr>
            <w:tcW w:w="14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Ministarstvo unutrašnjih poslova USK</w:t>
            </w: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Izgradnja Policijske stanice Bužim</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800.000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800.000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200.000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r>
      <w:tr w:rsidR="00A56B71" w:rsidRPr="008A6F48" w:rsidTr="005F4519">
        <w:trPr>
          <w:trHeight w:val="420"/>
        </w:trPr>
        <w:tc>
          <w:tcPr>
            <w:tcW w:w="1440" w:type="dxa"/>
            <w:shd w:val="clear" w:color="000000" w:fill="FFFFFF"/>
            <w:hideMark/>
          </w:tcPr>
          <w:p w:rsidR="00A56B71" w:rsidRPr="008A6F48" w:rsidRDefault="00A56B71" w:rsidP="005F4519">
            <w:pPr>
              <w:rPr>
                <w:color w:val="000000"/>
                <w:lang w:val="hr-HR" w:eastAsia="hr-HR"/>
              </w:rPr>
            </w:pPr>
            <w:r>
              <w:rPr>
                <w:color w:val="000000"/>
                <w:lang w:val="hr-HR" w:eastAsia="hr-HR"/>
              </w:rPr>
              <w:t>Ministarstvo</w:t>
            </w:r>
            <w:r w:rsidRPr="00767745">
              <w:rPr>
                <w:color w:val="000000"/>
                <w:lang w:val="hr-HR" w:eastAsia="hr-HR"/>
              </w:rPr>
              <w:t xml:space="preserve"> zdravstva, rada i socijalne politike</w:t>
            </w:r>
            <w:r>
              <w:rPr>
                <w:color w:val="000000"/>
                <w:lang w:val="hr-HR" w:eastAsia="hr-HR"/>
              </w:rPr>
              <w:t xml:space="preserve"> USK</w:t>
            </w:r>
          </w:p>
        </w:tc>
        <w:tc>
          <w:tcPr>
            <w:tcW w:w="2640" w:type="dxa"/>
            <w:shd w:val="clear" w:color="000000" w:fill="FFFFFF"/>
            <w:hideMark/>
          </w:tcPr>
          <w:p w:rsidR="00A56B71" w:rsidRPr="008A6F48" w:rsidRDefault="00A56B71" w:rsidP="005F4519">
            <w:pPr>
              <w:rPr>
                <w:color w:val="000000"/>
                <w:lang w:val="hr-HR" w:eastAsia="hr-HR"/>
              </w:rPr>
            </w:pPr>
            <w:r w:rsidRPr="008A6F48">
              <w:rPr>
                <w:color w:val="000000"/>
                <w:lang w:val="hr-HR" w:eastAsia="hr-HR"/>
              </w:rPr>
              <w:t>Rekonstrukcija objekta Foča – KB kompleks</w:t>
            </w:r>
          </w:p>
        </w:tc>
        <w:tc>
          <w:tcPr>
            <w:tcW w:w="92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11.500.000</w:t>
            </w:r>
          </w:p>
        </w:tc>
        <w:tc>
          <w:tcPr>
            <w:tcW w:w="100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1.200.000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11.300.000</w:t>
            </w:r>
          </w:p>
        </w:tc>
        <w:tc>
          <w:tcPr>
            <w:tcW w:w="9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3.400.000</w:t>
            </w:r>
          </w:p>
        </w:tc>
        <w:tc>
          <w:tcPr>
            <w:tcW w:w="86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6.700.000</w:t>
            </w:r>
          </w:p>
        </w:tc>
        <w:tc>
          <w:tcPr>
            <w:tcW w:w="84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w:t>
            </w:r>
          </w:p>
        </w:tc>
        <w:tc>
          <w:tcPr>
            <w:tcW w:w="880" w:type="dxa"/>
            <w:shd w:val="clear" w:color="000000" w:fill="FFFFFF"/>
            <w:hideMark/>
          </w:tcPr>
          <w:p w:rsidR="00A56B71" w:rsidRPr="008A6F48" w:rsidRDefault="00A56B71" w:rsidP="005F4519">
            <w:pPr>
              <w:jc w:val="right"/>
              <w:rPr>
                <w:color w:val="000000"/>
                <w:lang w:val="hr-HR" w:eastAsia="hr-HR"/>
              </w:rPr>
            </w:pPr>
            <w:r w:rsidRPr="008A6F48">
              <w:rPr>
                <w:color w:val="000000"/>
                <w:lang w:val="hr-HR" w:eastAsia="hr-HR"/>
              </w:rPr>
              <w:t xml:space="preserve">  </w:t>
            </w:r>
          </w:p>
        </w:tc>
      </w:tr>
      <w:tr w:rsidR="00A56B71" w:rsidRPr="008A6F48" w:rsidTr="005F4519">
        <w:trPr>
          <w:trHeight w:val="225"/>
        </w:trPr>
        <w:tc>
          <w:tcPr>
            <w:tcW w:w="1440" w:type="dxa"/>
            <w:shd w:val="clear" w:color="auto" w:fill="auto"/>
            <w:noWrap/>
            <w:vAlign w:val="bottom"/>
            <w:hideMark/>
          </w:tcPr>
          <w:p w:rsidR="00A56B71" w:rsidRPr="008A6F48" w:rsidRDefault="00A56B71" w:rsidP="005F4519">
            <w:pPr>
              <w:rPr>
                <w:b/>
                <w:color w:val="000000"/>
                <w:lang w:val="hr-HR" w:eastAsia="hr-HR"/>
              </w:rPr>
            </w:pPr>
            <w:r w:rsidRPr="008A6F48">
              <w:rPr>
                <w:b/>
                <w:color w:val="000000"/>
                <w:lang w:val="hr-HR" w:eastAsia="hr-HR"/>
              </w:rPr>
              <w:t>UKUPNO</w:t>
            </w:r>
          </w:p>
        </w:tc>
        <w:tc>
          <w:tcPr>
            <w:tcW w:w="2640" w:type="dxa"/>
            <w:shd w:val="clear" w:color="auto" w:fill="auto"/>
            <w:noWrap/>
            <w:vAlign w:val="bottom"/>
            <w:hideMark/>
          </w:tcPr>
          <w:p w:rsidR="00A56B71" w:rsidRPr="008A6F48" w:rsidRDefault="00A56B71" w:rsidP="005F4519">
            <w:pPr>
              <w:rPr>
                <w:b/>
                <w:color w:val="000000"/>
                <w:lang w:val="hr-HR" w:eastAsia="hr-HR"/>
              </w:rPr>
            </w:pPr>
            <w:r w:rsidRPr="008A6F48">
              <w:rPr>
                <w:b/>
                <w:color w:val="000000"/>
                <w:lang w:val="hr-HR" w:eastAsia="hr-HR"/>
              </w:rPr>
              <w:t> </w:t>
            </w:r>
          </w:p>
        </w:tc>
        <w:tc>
          <w:tcPr>
            <w:tcW w:w="920" w:type="dxa"/>
            <w:shd w:val="clear" w:color="auto" w:fill="auto"/>
            <w:noWrap/>
            <w:vAlign w:val="bottom"/>
            <w:hideMark/>
          </w:tcPr>
          <w:p w:rsidR="00A56B71" w:rsidRPr="008A6F48" w:rsidRDefault="00A56B71" w:rsidP="005F4519">
            <w:pPr>
              <w:jc w:val="right"/>
              <w:rPr>
                <w:b/>
                <w:color w:val="000000"/>
                <w:lang w:val="hr-HR" w:eastAsia="hr-HR"/>
              </w:rPr>
            </w:pPr>
            <w:r w:rsidRPr="008A6F48">
              <w:rPr>
                <w:b/>
                <w:color w:val="000000"/>
                <w:lang w:val="hr-HR" w:eastAsia="hr-HR"/>
              </w:rPr>
              <w:t>82.253.498</w:t>
            </w:r>
          </w:p>
        </w:tc>
        <w:tc>
          <w:tcPr>
            <w:tcW w:w="1000" w:type="dxa"/>
            <w:shd w:val="clear" w:color="auto" w:fill="auto"/>
            <w:noWrap/>
            <w:vAlign w:val="bottom"/>
            <w:hideMark/>
          </w:tcPr>
          <w:p w:rsidR="00A56B71" w:rsidRPr="008A6F48" w:rsidRDefault="00A56B71" w:rsidP="005F4519">
            <w:pPr>
              <w:jc w:val="right"/>
              <w:rPr>
                <w:b/>
                <w:color w:val="000000"/>
                <w:lang w:val="hr-HR" w:eastAsia="hr-HR"/>
              </w:rPr>
            </w:pPr>
            <w:r w:rsidRPr="008A6F48">
              <w:rPr>
                <w:b/>
                <w:color w:val="000000"/>
                <w:lang w:val="hr-HR" w:eastAsia="hr-HR"/>
              </w:rPr>
              <w:t>14</w:t>
            </w:r>
            <w:r>
              <w:rPr>
                <w:b/>
                <w:color w:val="000000"/>
                <w:lang w:val="hr-HR" w:eastAsia="hr-HR"/>
              </w:rPr>
              <w:t>.</w:t>
            </w:r>
            <w:r w:rsidRPr="008A6F48">
              <w:rPr>
                <w:b/>
                <w:color w:val="000000"/>
                <w:lang w:val="hr-HR" w:eastAsia="hr-HR"/>
              </w:rPr>
              <w:t>379</w:t>
            </w:r>
            <w:r>
              <w:rPr>
                <w:b/>
                <w:color w:val="000000"/>
                <w:lang w:val="hr-HR" w:eastAsia="hr-HR"/>
              </w:rPr>
              <w:t>.</w:t>
            </w:r>
            <w:r w:rsidRPr="008A6F48">
              <w:rPr>
                <w:b/>
                <w:color w:val="000000"/>
                <w:lang w:val="hr-HR" w:eastAsia="hr-HR"/>
              </w:rPr>
              <w:t>063</w:t>
            </w:r>
          </w:p>
        </w:tc>
        <w:tc>
          <w:tcPr>
            <w:tcW w:w="960" w:type="dxa"/>
            <w:shd w:val="clear" w:color="auto" w:fill="auto"/>
            <w:noWrap/>
            <w:vAlign w:val="bottom"/>
            <w:hideMark/>
          </w:tcPr>
          <w:p w:rsidR="00A56B71" w:rsidRPr="008A6F48" w:rsidRDefault="00A56B71" w:rsidP="005F4519">
            <w:pPr>
              <w:jc w:val="right"/>
              <w:rPr>
                <w:b/>
                <w:color w:val="000000"/>
                <w:lang w:val="hr-HR" w:eastAsia="hr-HR"/>
              </w:rPr>
            </w:pPr>
            <w:r w:rsidRPr="008A6F48">
              <w:rPr>
                <w:b/>
                <w:color w:val="000000"/>
                <w:lang w:val="hr-HR" w:eastAsia="hr-HR"/>
              </w:rPr>
              <w:t>47</w:t>
            </w:r>
            <w:r>
              <w:rPr>
                <w:b/>
                <w:color w:val="000000"/>
                <w:lang w:val="hr-HR" w:eastAsia="hr-HR"/>
              </w:rPr>
              <w:t>.</w:t>
            </w:r>
            <w:r w:rsidRPr="008A6F48">
              <w:rPr>
                <w:b/>
                <w:color w:val="000000"/>
                <w:lang w:val="hr-HR" w:eastAsia="hr-HR"/>
              </w:rPr>
              <w:t>735</w:t>
            </w:r>
            <w:r>
              <w:rPr>
                <w:b/>
                <w:color w:val="000000"/>
                <w:lang w:val="hr-HR" w:eastAsia="hr-HR"/>
              </w:rPr>
              <w:t>.</w:t>
            </w:r>
            <w:r w:rsidRPr="008A6F48">
              <w:rPr>
                <w:b/>
                <w:color w:val="000000"/>
                <w:lang w:val="hr-HR" w:eastAsia="hr-HR"/>
              </w:rPr>
              <w:t>467</w:t>
            </w:r>
          </w:p>
        </w:tc>
        <w:tc>
          <w:tcPr>
            <w:tcW w:w="960" w:type="dxa"/>
            <w:shd w:val="clear" w:color="auto" w:fill="auto"/>
            <w:noWrap/>
            <w:vAlign w:val="bottom"/>
            <w:hideMark/>
          </w:tcPr>
          <w:p w:rsidR="00A56B71" w:rsidRPr="008A6F48" w:rsidRDefault="00A56B71" w:rsidP="005F4519">
            <w:pPr>
              <w:jc w:val="right"/>
              <w:rPr>
                <w:b/>
                <w:color w:val="000000"/>
                <w:lang w:val="hr-HR" w:eastAsia="hr-HR"/>
              </w:rPr>
            </w:pPr>
            <w:r w:rsidRPr="008A6F48">
              <w:rPr>
                <w:b/>
                <w:color w:val="000000"/>
                <w:lang w:val="hr-HR" w:eastAsia="hr-HR"/>
              </w:rPr>
              <w:t>18.381.314</w:t>
            </w:r>
          </w:p>
        </w:tc>
        <w:tc>
          <w:tcPr>
            <w:tcW w:w="860" w:type="dxa"/>
            <w:shd w:val="clear" w:color="auto" w:fill="auto"/>
            <w:noWrap/>
            <w:vAlign w:val="bottom"/>
            <w:hideMark/>
          </w:tcPr>
          <w:p w:rsidR="00A56B71" w:rsidRPr="008A6F48" w:rsidRDefault="00A56B71" w:rsidP="005F4519">
            <w:pPr>
              <w:jc w:val="right"/>
              <w:rPr>
                <w:b/>
                <w:color w:val="000000"/>
                <w:lang w:val="hr-HR" w:eastAsia="hr-HR"/>
              </w:rPr>
            </w:pPr>
            <w:r w:rsidRPr="008A6F48">
              <w:rPr>
                <w:b/>
                <w:color w:val="000000"/>
                <w:lang w:val="hr-HR" w:eastAsia="hr-HR"/>
              </w:rPr>
              <w:t>13</w:t>
            </w:r>
            <w:r>
              <w:rPr>
                <w:b/>
                <w:color w:val="000000"/>
                <w:lang w:val="hr-HR" w:eastAsia="hr-HR"/>
              </w:rPr>
              <w:t>.</w:t>
            </w:r>
            <w:r w:rsidRPr="008A6F48">
              <w:rPr>
                <w:b/>
                <w:color w:val="000000"/>
                <w:lang w:val="hr-HR" w:eastAsia="hr-HR"/>
              </w:rPr>
              <w:t>807</w:t>
            </w:r>
            <w:r>
              <w:rPr>
                <w:b/>
                <w:color w:val="000000"/>
                <w:lang w:val="hr-HR" w:eastAsia="hr-HR"/>
              </w:rPr>
              <w:t>.</w:t>
            </w:r>
            <w:r w:rsidRPr="008A6F48">
              <w:rPr>
                <w:b/>
                <w:color w:val="000000"/>
                <w:lang w:val="hr-HR" w:eastAsia="hr-HR"/>
              </w:rPr>
              <w:t>902</w:t>
            </w:r>
          </w:p>
        </w:tc>
        <w:tc>
          <w:tcPr>
            <w:tcW w:w="840" w:type="dxa"/>
            <w:shd w:val="clear" w:color="auto" w:fill="auto"/>
            <w:noWrap/>
            <w:vAlign w:val="bottom"/>
            <w:hideMark/>
          </w:tcPr>
          <w:p w:rsidR="00A56B71" w:rsidRPr="008A6F48" w:rsidRDefault="00A56B71" w:rsidP="005F4519">
            <w:pPr>
              <w:jc w:val="right"/>
              <w:rPr>
                <w:b/>
                <w:color w:val="000000"/>
                <w:lang w:val="hr-HR" w:eastAsia="hr-HR"/>
              </w:rPr>
            </w:pPr>
            <w:r w:rsidRPr="008A6F48">
              <w:rPr>
                <w:b/>
                <w:color w:val="000000"/>
                <w:lang w:val="hr-HR" w:eastAsia="hr-HR"/>
              </w:rPr>
              <w:t>6</w:t>
            </w:r>
            <w:r>
              <w:rPr>
                <w:b/>
                <w:color w:val="000000"/>
                <w:lang w:val="hr-HR" w:eastAsia="hr-HR"/>
              </w:rPr>
              <w:t>.</w:t>
            </w:r>
            <w:r w:rsidRPr="008A6F48">
              <w:rPr>
                <w:b/>
                <w:color w:val="000000"/>
                <w:lang w:val="hr-HR" w:eastAsia="hr-HR"/>
              </w:rPr>
              <w:t>475</w:t>
            </w:r>
            <w:r>
              <w:rPr>
                <w:b/>
                <w:color w:val="000000"/>
                <w:lang w:val="hr-HR" w:eastAsia="hr-HR"/>
              </w:rPr>
              <w:t>.</w:t>
            </w:r>
            <w:r w:rsidRPr="008A6F48">
              <w:rPr>
                <w:b/>
                <w:color w:val="000000"/>
                <w:lang w:val="hr-HR" w:eastAsia="hr-HR"/>
              </w:rPr>
              <w:t>721</w:t>
            </w:r>
          </w:p>
        </w:tc>
        <w:tc>
          <w:tcPr>
            <w:tcW w:w="880" w:type="dxa"/>
            <w:shd w:val="clear" w:color="auto" w:fill="auto"/>
            <w:noWrap/>
            <w:vAlign w:val="bottom"/>
            <w:hideMark/>
          </w:tcPr>
          <w:p w:rsidR="00A56B71" w:rsidRPr="008A6F48" w:rsidRDefault="00A56B71" w:rsidP="005F4519">
            <w:pPr>
              <w:jc w:val="right"/>
              <w:rPr>
                <w:b/>
                <w:color w:val="000000"/>
                <w:lang w:val="hr-HR" w:eastAsia="hr-HR"/>
              </w:rPr>
            </w:pPr>
            <w:r w:rsidRPr="008A6F48">
              <w:rPr>
                <w:b/>
                <w:color w:val="000000"/>
                <w:lang w:val="hr-HR" w:eastAsia="hr-HR"/>
              </w:rPr>
              <w:t>5</w:t>
            </w:r>
            <w:r>
              <w:rPr>
                <w:b/>
                <w:color w:val="000000"/>
                <w:lang w:val="hr-HR" w:eastAsia="hr-HR"/>
              </w:rPr>
              <w:t>.</w:t>
            </w:r>
            <w:r w:rsidRPr="008A6F48">
              <w:rPr>
                <w:b/>
                <w:color w:val="000000"/>
                <w:lang w:val="hr-HR" w:eastAsia="hr-HR"/>
              </w:rPr>
              <w:t>535</w:t>
            </w:r>
            <w:r>
              <w:rPr>
                <w:b/>
                <w:color w:val="000000"/>
                <w:lang w:val="hr-HR" w:eastAsia="hr-HR"/>
              </w:rPr>
              <w:t>.</w:t>
            </w:r>
            <w:r w:rsidRPr="008A6F48">
              <w:rPr>
                <w:b/>
                <w:color w:val="000000"/>
                <w:lang w:val="hr-HR" w:eastAsia="hr-HR"/>
              </w:rPr>
              <w:t>359</w:t>
            </w:r>
          </w:p>
        </w:tc>
      </w:tr>
    </w:tbl>
    <w:p w:rsidR="00A56B71" w:rsidRDefault="00A56B71" w:rsidP="00A56B71">
      <w:pPr>
        <w:rPr>
          <w:sz w:val="24"/>
          <w:szCs w:val="24"/>
        </w:rPr>
      </w:pPr>
    </w:p>
    <w:p w:rsidR="00A56B71" w:rsidRPr="00A80872" w:rsidRDefault="00A56B71" w:rsidP="006D58BE">
      <w:pPr>
        <w:tabs>
          <w:tab w:val="left" w:pos="312"/>
          <w:tab w:val="left" w:pos="546"/>
        </w:tabs>
        <w:ind w:left="435"/>
        <w:jc w:val="both"/>
        <w:rPr>
          <w:noProof/>
          <w:sz w:val="28"/>
          <w:szCs w:val="28"/>
        </w:rPr>
      </w:pPr>
    </w:p>
    <w:p w:rsidR="0011111D" w:rsidRPr="0011111D" w:rsidRDefault="0011111D" w:rsidP="0011111D">
      <w:pPr>
        <w:rPr>
          <w:sz w:val="24"/>
          <w:szCs w:val="24"/>
          <w:lang w:val="hr-HR" w:eastAsia="hr-HR"/>
        </w:rPr>
      </w:pPr>
    </w:p>
    <w:sectPr w:rsidR="0011111D" w:rsidRPr="0011111D" w:rsidSect="00DB0CDF">
      <w:pgSz w:w="15840" w:h="12240" w:orient="landscape" w:code="1"/>
      <w:pgMar w:top="720" w:right="720" w:bottom="720" w:left="720" w:header="720" w:footer="720" w:gutter="0"/>
      <w:pgBorders w:offsetFrom="page">
        <w:top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667" w:rsidRDefault="00FD7667">
      <w:r>
        <w:separator/>
      </w:r>
    </w:p>
  </w:endnote>
  <w:endnote w:type="continuationSeparator" w:id="1">
    <w:p w:rsidR="00FD7667" w:rsidRDefault="00FD76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10A" w:rsidRDefault="002F510A">
    <w:pPr>
      <w:pStyle w:val="FootnoteTextChar"/>
      <w:framePr w:wrap="around" w:vAnchor="text" w:hAnchor="margin" w:xAlign="center" w:y="1"/>
      <w:rPr>
        <w:rStyle w:val="BodyText2"/>
        <w:rFonts w:ascii="Arial" w:hAnsi="Arial" w:cs="Arial"/>
        <w:szCs w:val="21"/>
      </w:rPr>
    </w:pPr>
    <w:r>
      <w:rPr>
        <w:rStyle w:val="BodyText2"/>
        <w:rFonts w:ascii="Arial" w:hAnsi="Arial" w:cs="Arial"/>
        <w:szCs w:val="21"/>
      </w:rPr>
      <w:fldChar w:fldCharType="begin"/>
    </w:r>
    <w:r>
      <w:rPr>
        <w:rStyle w:val="BodyText2"/>
        <w:rFonts w:ascii="Arial" w:hAnsi="Arial" w:cs="Arial"/>
        <w:szCs w:val="21"/>
      </w:rPr>
      <w:instrText xml:space="preserve">PAGE  </w:instrText>
    </w:r>
    <w:r>
      <w:rPr>
        <w:rStyle w:val="BodyText2"/>
        <w:rFonts w:ascii="Arial" w:hAnsi="Arial" w:cs="Arial"/>
        <w:szCs w:val="21"/>
      </w:rPr>
      <w:fldChar w:fldCharType="separate"/>
    </w:r>
    <w:r w:rsidR="00400744">
      <w:rPr>
        <w:rStyle w:val="BodyText2"/>
        <w:rFonts w:ascii="Arial" w:hAnsi="Arial" w:cs="Arial"/>
        <w:noProof/>
        <w:szCs w:val="21"/>
      </w:rPr>
      <w:t>46</w:t>
    </w:r>
    <w:r>
      <w:rPr>
        <w:rStyle w:val="BodyText2"/>
        <w:rFonts w:ascii="Arial" w:hAnsi="Arial" w:cs="Arial"/>
        <w:szCs w:val="21"/>
      </w:rPr>
      <w:fldChar w:fldCharType="end"/>
    </w:r>
  </w:p>
  <w:p w:rsidR="002F510A" w:rsidRDefault="002F510A">
    <w:pPr>
      <w:pStyle w:val="FootnoteTextCha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667" w:rsidRDefault="00FD7667">
      <w:r>
        <w:separator/>
      </w:r>
    </w:p>
  </w:footnote>
  <w:footnote w:type="continuationSeparator" w:id="1">
    <w:p w:rsidR="00FD7667" w:rsidRDefault="00FD76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AD9"/>
    <w:multiLevelType w:val="hybridMultilevel"/>
    <w:tmpl w:val="D5A84586"/>
    <w:lvl w:ilvl="0" w:tplc="041A0001">
      <w:start w:val="1"/>
      <w:numFmt w:val="bullet"/>
      <w:lvlText w:val=""/>
      <w:lvlJc w:val="left"/>
      <w:pPr>
        <w:tabs>
          <w:tab w:val="num" w:pos="1080"/>
        </w:tabs>
        <w:ind w:left="108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5B63512"/>
    <w:multiLevelType w:val="hybridMultilevel"/>
    <w:tmpl w:val="C5689FC2"/>
    <w:lvl w:ilvl="0" w:tplc="041A0001">
      <w:start w:val="1"/>
      <w:numFmt w:val="bullet"/>
      <w:lvlText w:val=""/>
      <w:lvlJc w:val="left"/>
      <w:pPr>
        <w:tabs>
          <w:tab w:val="num" w:pos="1080"/>
        </w:tabs>
        <w:ind w:left="1080" w:hanging="360"/>
      </w:pPr>
      <w:rPr>
        <w:rFonts w:ascii="Symbol" w:hAnsi="Symbol" w:hint="default"/>
      </w:rPr>
    </w:lvl>
    <w:lvl w:ilvl="1" w:tplc="C276DD3C">
      <w:numFmt w:val="bullet"/>
      <w:lvlText w:val="•"/>
      <w:lvlJc w:val="left"/>
      <w:pPr>
        <w:ind w:left="2355" w:hanging="915"/>
      </w:pPr>
      <w:rPr>
        <w:rFonts w:ascii="Times New Roman" w:eastAsia="Times New Roman" w:hAnsi="Times New Roman" w:cs="Times New Roman"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
    <w:nsid w:val="0CB37368"/>
    <w:multiLevelType w:val="hybridMultilevel"/>
    <w:tmpl w:val="163C69FC"/>
    <w:lvl w:ilvl="0" w:tplc="BDD8BFE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311D68"/>
    <w:multiLevelType w:val="multilevel"/>
    <w:tmpl w:val="AE880ED0"/>
    <w:lvl w:ilvl="0">
      <w:start w:val="4"/>
      <w:numFmt w:val="decimal"/>
      <w:lvlText w:val="%1"/>
      <w:lvlJc w:val="left"/>
      <w:pPr>
        <w:ind w:left="390" w:hanging="39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5760" w:hanging="2160"/>
      </w:pPr>
      <w:rPr>
        <w:rFonts w:hint="default"/>
      </w:rPr>
    </w:lvl>
  </w:abstractNum>
  <w:abstractNum w:abstractNumId="4">
    <w:nsid w:val="22AC4F0F"/>
    <w:multiLevelType w:val="hybridMultilevel"/>
    <w:tmpl w:val="74A2C93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2B911539"/>
    <w:multiLevelType w:val="hybridMultilevel"/>
    <w:tmpl w:val="E0B87A5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33730BC7"/>
    <w:multiLevelType w:val="singleLevel"/>
    <w:tmpl w:val="6D8E754C"/>
    <w:lvl w:ilvl="0">
      <w:start w:val="1"/>
      <w:numFmt w:val="bullet"/>
      <w:pStyle w:val="FootnoteTextChar"/>
      <w:lvlText w:val=""/>
      <w:lvlJc w:val="left"/>
      <w:pPr>
        <w:tabs>
          <w:tab w:val="num" w:pos="1080"/>
        </w:tabs>
        <w:ind w:left="1008" w:hanging="288"/>
      </w:pPr>
      <w:rPr>
        <w:rFonts w:ascii="Symbol" w:hAnsi="Symbol" w:hint="default"/>
      </w:rPr>
    </w:lvl>
  </w:abstractNum>
  <w:abstractNum w:abstractNumId="7">
    <w:nsid w:val="3A5B679E"/>
    <w:multiLevelType w:val="multilevel"/>
    <w:tmpl w:val="AA24D78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2E51981"/>
    <w:multiLevelType w:val="hybridMultilevel"/>
    <w:tmpl w:val="2EF49476"/>
    <w:lvl w:ilvl="0" w:tplc="101A0005">
      <w:start w:val="1"/>
      <w:numFmt w:val="bullet"/>
      <w:lvlText w:val=""/>
      <w:lvlJc w:val="left"/>
      <w:pPr>
        <w:ind w:left="720" w:hanging="360"/>
      </w:pPr>
      <w:rPr>
        <w:rFonts w:ascii="Wingdings" w:hAnsi="Wingding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9">
    <w:nsid w:val="440A75F4"/>
    <w:multiLevelType w:val="hybridMultilevel"/>
    <w:tmpl w:val="275C389C"/>
    <w:lvl w:ilvl="0" w:tplc="947CF4F0">
      <w:start w:val="1"/>
      <w:numFmt w:val="upperLetter"/>
      <w:lvlText w:val="%1."/>
      <w:lvlJc w:val="left"/>
      <w:pPr>
        <w:tabs>
          <w:tab w:val="num" w:pos="795"/>
        </w:tabs>
        <w:ind w:left="795" w:hanging="360"/>
      </w:pPr>
      <w:rPr>
        <w:rFonts w:hint="default"/>
      </w:rPr>
    </w:lvl>
    <w:lvl w:ilvl="1" w:tplc="041A0019" w:tentative="1">
      <w:start w:val="1"/>
      <w:numFmt w:val="lowerLetter"/>
      <w:lvlText w:val="%2."/>
      <w:lvlJc w:val="left"/>
      <w:pPr>
        <w:tabs>
          <w:tab w:val="num" w:pos="1515"/>
        </w:tabs>
        <w:ind w:left="1515" w:hanging="360"/>
      </w:pPr>
    </w:lvl>
    <w:lvl w:ilvl="2" w:tplc="041A001B" w:tentative="1">
      <w:start w:val="1"/>
      <w:numFmt w:val="lowerRoman"/>
      <w:lvlText w:val="%3."/>
      <w:lvlJc w:val="right"/>
      <w:pPr>
        <w:tabs>
          <w:tab w:val="num" w:pos="2235"/>
        </w:tabs>
        <w:ind w:left="2235" w:hanging="180"/>
      </w:pPr>
    </w:lvl>
    <w:lvl w:ilvl="3" w:tplc="041A000F" w:tentative="1">
      <w:start w:val="1"/>
      <w:numFmt w:val="decimal"/>
      <w:lvlText w:val="%4."/>
      <w:lvlJc w:val="left"/>
      <w:pPr>
        <w:tabs>
          <w:tab w:val="num" w:pos="2955"/>
        </w:tabs>
        <w:ind w:left="2955" w:hanging="360"/>
      </w:pPr>
    </w:lvl>
    <w:lvl w:ilvl="4" w:tplc="041A0019" w:tentative="1">
      <w:start w:val="1"/>
      <w:numFmt w:val="lowerLetter"/>
      <w:lvlText w:val="%5."/>
      <w:lvlJc w:val="left"/>
      <w:pPr>
        <w:tabs>
          <w:tab w:val="num" w:pos="3675"/>
        </w:tabs>
        <w:ind w:left="3675" w:hanging="360"/>
      </w:pPr>
    </w:lvl>
    <w:lvl w:ilvl="5" w:tplc="041A001B" w:tentative="1">
      <w:start w:val="1"/>
      <w:numFmt w:val="lowerRoman"/>
      <w:lvlText w:val="%6."/>
      <w:lvlJc w:val="right"/>
      <w:pPr>
        <w:tabs>
          <w:tab w:val="num" w:pos="4395"/>
        </w:tabs>
        <w:ind w:left="4395" w:hanging="180"/>
      </w:pPr>
    </w:lvl>
    <w:lvl w:ilvl="6" w:tplc="041A000F" w:tentative="1">
      <w:start w:val="1"/>
      <w:numFmt w:val="decimal"/>
      <w:lvlText w:val="%7."/>
      <w:lvlJc w:val="left"/>
      <w:pPr>
        <w:tabs>
          <w:tab w:val="num" w:pos="5115"/>
        </w:tabs>
        <w:ind w:left="5115" w:hanging="360"/>
      </w:pPr>
    </w:lvl>
    <w:lvl w:ilvl="7" w:tplc="041A0019" w:tentative="1">
      <w:start w:val="1"/>
      <w:numFmt w:val="lowerLetter"/>
      <w:lvlText w:val="%8."/>
      <w:lvlJc w:val="left"/>
      <w:pPr>
        <w:tabs>
          <w:tab w:val="num" w:pos="5835"/>
        </w:tabs>
        <w:ind w:left="5835" w:hanging="360"/>
      </w:pPr>
    </w:lvl>
    <w:lvl w:ilvl="8" w:tplc="041A001B" w:tentative="1">
      <w:start w:val="1"/>
      <w:numFmt w:val="lowerRoman"/>
      <w:lvlText w:val="%9."/>
      <w:lvlJc w:val="right"/>
      <w:pPr>
        <w:tabs>
          <w:tab w:val="num" w:pos="6555"/>
        </w:tabs>
        <w:ind w:left="6555" w:hanging="180"/>
      </w:pPr>
    </w:lvl>
  </w:abstractNum>
  <w:abstractNum w:abstractNumId="10">
    <w:nsid w:val="491850BA"/>
    <w:multiLevelType w:val="hybridMultilevel"/>
    <w:tmpl w:val="63C2A4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D270939"/>
    <w:multiLevelType w:val="multilevel"/>
    <w:tmpl w:val="54408D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4E892333"/>
    <w:multiLevelType w:val="hybridMultilevel"/>
    <w:tmpl w:val="03204C28"/>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nsid w:val="53040A59"/>
    <w:multiLevelType w:val="hybridMultilevel"/>
    <w:tmpl w:val="E4C85EA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9683DDB"/>
    <w:multiLevelType w:val="multilevel"/>
    <w:tmpl w:val="02FA733E"/>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00" w:hanging="432"/>
      </w:pPr>
      <w:rPr>
        <w:rFonts w:hint="default"/>
        <w:sz w:val="28"/>
      </w:rPr>
    </w:lvl>
    <w:lvl w:ilvl="2">
      <w:start w:val="1"/>
      <w:numFmt w:val="decimal"/>
      <w:lvlText w:val="%1.%2.%3."/>
      <w:lvlJc w:val="left"/>
      <w:pPr>
        <w:ind w:left="1224" w:hanging="504"/>
      </w:pPr>
      <w:rPr>
        <w:rFonts w:hint="default"/>
        <w:sz w:val="28"/>
      </w:rPr>
    </w:lvl>
    <w:lvl w:ilvl="3">
      <w:start w:val="1"/>
      <w:numFmt w:val="decimal"/>
      <w:lvlText w:val="%1.%2.%3.%4."/>
      <w:lvlJc w:val="left"/>
      <w:pPr>
        <w:ind w:left="1728" w:hanging="648"/>
      </w:pPr>
      <w:rPr>
        <w:rFonts w:hint="default"/>
        <w:sz w:val="28"/>
      </w:rPr>
    </w:lvl>
    <w:lvl w:ilvl="4">
      <w:start w:val="1"/>
      <w:numFmt w:val="decimal"/>
      <w:lvlText w:val="%1.%2.%3.%4.%5."/>
      <w:lvlJc w:val="left"/>
      <w:pPr>
        <w:ind w:left="2232" w:hanging="792"/>
      </w:pPr>
      <w:rPr>
        <w:rFonts w:hint="default"/>
        <w:sz w:val="28"/>
      </w:rPr>
    </w:lvl>
    <w:lvl w:ilvl="5">
      <w:start w:val="1"/>
      <w:numFmt w:val="decimal"/>
      <w:lvlText w:val="%1.%2.%3.%4.%5.%6."/>
      <w:lvlJc w:val="left"/>
      <w:pPr>
        <w:ind w:left="2736" w:hanging="936"/>
      </w:pPr>
      <w:rPr>
        <w:rFonts w:hint="default"/>
        <w:sz w:val="28"/>
      </w:rPr>
    </w:lvl>
    <w:lvl w:ilvl="6">
      <w:start w:val="1"/>
      <w:numFmt w:val="decimal"/>
      <w:lvlText w:val="%1.%2.%3.%4.%5.%6.%7."/>
      <w:lvlJc w:val="left"/>
      <w:pPr>
        <w:ind w:left="3240" w:hanging="1080"/>
      </w:pPr>
      <w:rPr>
        <w:rFonts w:hint="default"/>
        <w:sz w:val="28"/>
      </w:rPr>
    </w:lvl>
    <w:lvl w:ilvl="7">
      <w:start w:val="1"/>
      <w:numFmt w:val="decimal"/>
      <w:lvlText w:val="%1.%2.%3.%4.%5.%6.%7.%8."/>
      <w:lvlJc w:val="left"/>
      <w:pPr>
        <w:ind w:left="3744" w:hanging="1224"/>
      </w:pPr>
      <w:rPr>
        <w:rFonts w:hint="default"/>
        <w:sz w:val="28"/>
      </w:rPr>
    </w:lvl>
    <w:lvl w:ilvl="8">
      <w:start w:val="1"/>
      <w:numFmt w:val="decimal"/>
      <w:lvlText w:val="%1.%2.%3.%4.%5.%6.%7.%8.%9."/>
      <w:lvlJc w:val="left"/>
      <w:pPr>
        <w:ind w:left="4320" w:hanging="1440"/>
      </w:pPr>
      <w:rPr>
        <w:rFonts w:hint="default"/>
        <w:sz w:val="28"/>
      </w:rPr>
    </w:lvl>
  </w:abstractNum>
  <w:abstractNum w:abstractNumId="15">
    <w:nsid w:val="5D2E73DE"/>
    <w:multiLevelType w:val="hybridMultilevel"/>
    <w:tmpl w:val="5422F81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7BF4F11"/>
    <w:multiLevelType w:val="hybridMultilevel"/>
    <w:tmpl w:val="A8565980"/>
    <w:lvl w:ilvl="0" w:tplc="A896378A">
      <w:start w:val="1"/>
      <w:numFmt w:val="bullet"/>
      <w:lvlText w:val=""/>
      <w:lvlJc w:val="left"/>
      <w:pPr>
        <w:tabs>
          <w:tab w:val="num" w:pos="720"/>
        </w:tabs>
        <w:ind w:left="720" w:hanging="360"/>
      </w:pPr>
      <w:rPr>
        <w:rFonts w:ascii="Wingdings" w:hAnsi="Wingding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nsid w:val="6DA639AE"/>
    <w:multiLevelType w:val="hybridMultilevel"/>
    <w:tmpl w:val="21C00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FA3605C"/>
    <w:multiLevelType w:val="hybridMultilevel"/>
    <w:tmpl w:val="480AFD40"/>
    <w:lvl w:ilvl="0" w:tplc="5FC474BA">
      <w:start w:val="2017"/>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14"/>
  </w:num>
  <w:num w:numId="5">
    <w:abstractNumId w:val="3"/>
  </w:num>
  <w:num w:numId="6">
    <w:abstractNumId w:val="5"/>
  </w:num>
  <w:num w:numId="7">
    <w:abstractNumId w:val="0"/>
  </w:num>
  <w:num w:numId="8">
    <w:abstractNumId w:val="4"/>
  </w:num>
  <w:num w:numId="9">
    <w:abstractNumId w:val="16"/>
  </w:num>
  <w:num w:numId="10">
    <w:abstractNumId w:val="9"/>
  </w:num>
  <w:num w:numId="11">
    <w:abstractNumId w:val="8"/>
  </w:num>
  <w:num w:numId="12">
    <w:abstractNumId w:val="13"/>
  </w:num>
  <w:num w:numId="13">
    <w:abstractNumId w:val="15"/>
  </w:num>
  <w:num w:numId="14">
    <w:abstractNumId w:val="10"/>
  </w:num>
  <w:num w:numId="15">
    <w:abstractNumId w:val="18"/>
  </w:num>
  <w:num w:numId="16">
    <w:abstractNumId w:val="11"/>
  </w:num>
  <w:num w:numId="17">
    <w:abstractNumId w:val="17"/>
  </w:num>
  <w:num w:numId="18">
    <w:abstractNumId w:val="12"/>
  </w:num>
  <w:num w:numId="19">
    <w:abstractNumId w:val="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hyphenationZone w:val="425"/>
  <w:drawingGridHorizontalSpacing w:val="11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rsids>
    <w:rsidRoot w:val="002871E1"/>
    <w:rsid w:val="00000CE9"/>
    <w:rsid w:val="000016E6"/>
    <w:rsid w:val="00001BAA"/>
    <w:rsid w:val="00001D78"/>
    <w:rsid w:val="00001E10"/>
    <w:rsid w:val="00002760"/>
    <w:rsid w:val="00002885"/>
    <w:rsid w:val="00002C14"/>
    <w:rsid w:val="00003765"/>
    <w:rsid w:val="00005314"/>
    <w:rsid w:val="00006493"/>
    <w:rsid w:val="00007259"/>
    <w:rsid w:val="000078AF"/>
    <w:rsid w:val="00007934"/>
    <w:rsid w:val="0001079A"/>
    <w:rsid w:val="000112B1"/>
    <w:rsid w:val="00011430"/>
    <w:rsid w:val="0001260C"/>
    <w:rsid w:val="00012CBB"/>
    <w:rsid w:val="00012E74"/>
    <w:rsid w:val="00013A59"/>
    <w:rsid w:val="00013FF1"/>
    <w:rsid w:val="000213F4"/>
    <w:rsid w:val="00021F6B"/>
    <w:rsid w:val="00022FD6"/>
    <w:rsid w:val="00023209"/>
    <w:rsid w:val="000239C8"/>
    <w:rsid w:val="00024CC9"/>
    <w:rsid w:val="00024DE8"/>
    <w:rsid w:val="00025335"/>
    <w:rsid w:val="00025A48"/>
    <w:rsid w:val="00027F7F"/>
    <w:rsid w:val="00031898"/>
    <w:rsid w:val="00033C94"/>
    <w:rsid w:val="00036B6D"/>
    <w:rsid w:val="000371BB"/>
    <w:rsid w:val="0003769B"/>
    <w:rsid w:val="00040F4F"/>
    <w:rsid w:val="0004172D"/>
    <w:rsid w:val="00043662"/>
    <w:rsid w:val="00044378"/>
    <w:rsid w:val="00044C80"/>
    <w:rsid w:val="0004661F"/>
    <w:rsid w:val="000466D7"/>
    <w:rsid w:val="00046AE7"/>
    <w:rsid w:val="000470C6"/>
    <w:rsid w:val="00050008"/>
    <w:rsid w:val="000516F8"/>
    <w:rsid w:val="00051B66"/>
    <w:rsid w:val="00052F78"/>
    <w:rsid w:val="00053823"/>
    <w:rsid w:val="00053FF5"/>
    <w:rsid w:val="000548F6"/>
    <w:rsid w:val="00055BE1"/>
    <w:rsid w:val="00057233"/>
    <w:rsid w:val="0005768D"/>
    <w:rsid w:val="00060789"/>
    <w:rsid w:val="00060F52"/>
    <w:rsid w:val="00061196"/>
    <w:rsid w:val="00061E37"/>
    <w:rsid w:val="0006250E"/>
    <w:rsid w:val="00063193"/>
    <w:rsid w:val="00064881"/>
    <w:rsid w:val="000654BF"/>
    <w:rsid w:val="000655A4"/>
    <w:rsid w:val="000662FA"/>
    <w:rsid w:val="00066690"/>
    <w:rsid w:val="00066B96"/>
    <w:rsid w:val="000674F2"/>
    <w:rsid w:val="00070E56"/>
    <w:rsid w:val="00071177"/>
    <w:rsid w:val="00071FA3"/>
    <w:rsid w:val="00073CF8"/>
    <w:rsid w:val="00074294"/>
    <w:rsid w:val="00074753"/>
    <w:rsid w:val="000748C6"/>
    <w:rsid w:val="00074FCE"/>
    <w:rsid w:val="00075D3F"/>
    <w:rsid w:val="000761C9"/>
    <w:rsid w:val="00077130"/>
    <w:rsid w:val="00077F35"/>
    <w:rsid w:val="000801A8"/>
    <w:rsid w:val="00080595"/>
    <w:rsid w:val="00081399"/>
    <w:rsid w:val="00081B5C"/>
    <w:rsid w:val="0008230E"/>
    <w:rsid w:val="00082AFC"/>
    <w:rsid w:val="00084475"/>
    <w:rsid w:val="00084AEB"/>
    <w:rsid w:val="00086BED"/>
    <w:rsid w:val="00087321"/>
    <w:rsid w:val="00087AEC"/>
    <w:rsid w:val="0009017D"/>
    <w:rsid w:val="00090199"/>
    <w:rsid w:val="00091A7A"/>
    <w:rsid w:val="00091C79"/>
    <w:rsid w:val="0009217E"/>
    <w:rsid w:val="00092EA2"/>
    <w:rsid w:val="0009307D"/>
    <w:rsid w:val="0009578A"/>
    <w:rsid w:val="00095926"/>
    <w:rsid w:val="00095FE6"/>
    <w:rsid w:val="00096998"/>
    <w:rsid w:val="000A155E"/>
    <w:rsid w:val="000A1C95"/>
    <w:rsid w:val="000A2C13"/>
    <w:rsid w:val="000A3587"/>
    <w:rsid w:val="000A4074"/>
    <w:rsid w:val="000A41DA"/>
    <w:rsid w:val="000A435E"/>
    <w:rsid w:val="000A6FDC"/>
    <w:rsid w:val="000A748D"/>
    <w:rsid w:val="000B048B"/>
    <w:rsid w:val="000B0C46"/>
    <w:rsid w:val="000B0E14"/>
    <w:rsid w:val="000B0E6C"/>
    <w:rsid w:val="000B1B33"/>
    <w:rsid w:val="000B1BCB"/>
    <w:rsid w:val="000B206A"/>
    <w:rsid w:val="000B275A"/>
    <w:rsid w:val="000B3D92"/>
    <w:rsid w:val="000B3DD0"/>
    <w:rsid w:val="000B4480"/>
    <w:rsid w:val="000B44C9"/>
    <w:rsid w:val="000B4835"/>
    <w:rsid w:val="000B587F"/>
    <w:rsid w:val="000B59BE"/>
    <w:rsid w:val="000B6396"/>
    <w:rsid w:val="000B66CD"/>
    <w:rsid w:val="000B6E2C"/>
    <w:rsid w:val="000B7C2A"/>
    <w:rsid w:val="000B7EFE"/>
    <w:rsid w:val="000C0654"/>
    <w:rsid w:val="000C2684"/>
    <w:rsid w:val="000C272B"/>
    <w:rsid w:val="000C283F"/>
    <w:rsid w:val="000C2A82"/>
    <w:rsid w:val="000C4D26"/>
    <w:rsid w:val="000C4FB0"/>
    <w:rsid w:val="000C5ED9"/>
    <w:rsid w:val="000C6BB7"/>
    <w:rsid w:val="000C7B59"/>
    <w:rsid w:val="000D0A1F"/>
    <w:rsid w:val="000D0ACA"/>
    <w:rsid w:val="000D0B10"/>
    <w:rsid w:val="000D100A"/>
    <w:rsid w:val="000D15DD"/>
    <w:rsid w:val="000D2438"/>
    <w:rsid w:val="000D304D"/>
    <w:rsid w:val="000D4445"/>
    <w:rsid w:val="000D5A8E"/>
    <w:rsid w:val="000D69BC"/>
    <w:rsid w:val="000D6BC8"/>
    <w:rsid w:val="000D6FD9"/>
    <w:rsid w:val="000D7DB6"/>
    <w:rsid w:val="000E1215"/>
    <w:rsid w:val="000E162D"/>
    <w:rsid w:val="000E17BB"/>
    <w:rsid w:val="000E21A1"/>
    <w:rsid w:val="000E371F"/>
    <w:rsid w:val="000E39B3"/>
    <w:rsid w:val="000E3FD2"/>
    <w:rsid w:val="000E5668"/>
    <w:rsid w:val="000E5B4D"/>
    <w:rsid w:val="000E7218"/>
    <w:rsid w:val="000E73DF"/>
    <w:rsid w:val="000F01A1"/>
    <w:rsid w:val="000F01E3"/>
    <w:rsid w:val="000F139F"/>
    <w:rsid w:val="000F1CAE"/>
    <w:rsid w:val="000F21B0"/>
    <w:rsid w:val="000F2B55"/>
    <w:rsid w:val="000F2C8E"/>
    <w:rsid w:val="000F3CB3"/>
    <w:rsid w:val="000F4295"/>
    <w:rsid w:val="000F44B8"/>
    <w:rsid w:val="000F7206"/>
    <w:rsid w:val="000F7336"/>
    <w:rsid w:val="000F7F31"/>
    <w:rsid w:val="00101B7D"/>
    <w:rsid w:val="001022E9"/>
    <w:rsid w:val="00106F7A"/>
    <w:rsid w:val="001078A1"/>
    <w:rsid w:val="0011111D"/>
    <w:rsid w:val="001131D6"/>
    <w:rsid w:val="00113E0B"/>
    <w:rsid w:val="00115164"/>
    <w:rsid w:val="00117371"/>
    <w:rsid w:val="00117EF9"/>
    <w:rsid w:val="001207A2"/>
    <w:rsid w:val="001220B6"/>
    <w:rsid w:val="0012230F"/>
    <w:rsid w:val="001224F0"/>
    <w:rsid w:val="00122949"/>
    <w:rsid w:val="00123B3D"/>
    <w:rsid w:val="001245C4"/>
    <w:rsid w:val="00124A40"/>
    <w:rsid w:val="00124EE3"/>
    <w:rsid w:val="001255F5"/>
    <w:rsid w:val="00126B16"/>
    <w:rsid w:val="00126E30"/>
    <w:rsid w:val="00127473"/>
    <w:rsid w:val="00127C18"/>
    <w:rsid w:val="00127CC2"/>
    <w:rsid w:val="001316A9"/>
    <w:rsid w:val="0013219D"/>
    <w:rsid w:val="001323DE"/>
    <w:rsid w:val="00132B1E"/>
    <w:rsid w:val="00132ECA"/>
    <w:rsid w:val="00133160"/>
    <w:rsid w:val="0013441E"/>
    <w:rsid w:val="00134F74"/>
    <w:rsid w:val="001357E1"/>
    <w:rsid w:val="00136200"/>
    <w:rsid w:val="00136253"/>
    <w:rsid w:val="001374D6"/>
    <w:rsid w:val="00140036"/>
    <w:rsid w:val="00141B27"/>
    <w:rsid w:val="00141DB9"/>
    <w:rsid w:val="0014276D"/>
    <w:rsid w:val="00142E2A"/>
    <w:rsid w:val="0014331C"/>
    <w:rsid w:val="00143E90"/>
    <w:rsid w:val="001441BA"/>
    <w:rsid w:val="00146531"/>
    <w:rsid w:val="001475BA"/>
    <w:rsid w:val="00151352"/>
    <w:rsid w:val="0015190B"/>
    <w:rsid w:val="00151A4C"/>
    <w:rsid w:val="001524A4"/>
    <w:rsid w:val="00153579"/>
    <w:rsid w:val="00154519"/>
    <w:rsid w:val="00155203"/>
    <w:rsid w:val="001559A6"/>
    <w:rsid w:val="00160BFE"/>
    <w:rsid w:val="00160F3C"/>
    <w:rsid w:val="00161039"/>
    <w:rsid w:val="001615CD"/>
    <w:rsid w:val="00162112"/>
    <w:rsid w:val="00163D86"/>
    <w:rsid w:val="001661B1"/>
    <w:rsid w:val="00166E20"/>
    <w:rsid w:val="00167B3C"/>
    <w:rsid w:val="0017008F"/>
    <w:rsid w:val="0017024F"/>
    <w:rsid w:val="001704E2"/>
    <w:rsid w:val="00171542"/>
    <w:rsid w:val="0017167D"/>
    <w:rsid w:val="00172A9C"/>
    <w:rsid w:val="00173114"/>
    <w:rsid w:val="00174215"/>
    <w:rsid w:val="00174846"/>
    <w:rsid w:val="0017491E"/>
    <w:rsid w:val="001754C8"/>
    <w:rsid w:val="00176219"/>
    <w:rsid w:val="001771DD"/>
    <w:rsid w:val="00177261"/>
    <w:rsid w:val="00180DDE"/>
    <w:rsid w:val="00181905"/>
    <w:rsid w:val="00181ED0"/>
    <w:rsid w:val="001832D4"/>
    <w:rsid w:val="001837EF"/>
    <w:rsid w:val="0018397B"/>
    <w:rsid w:val="00183BC8"/>
    <w:rsid w:val="00184092"/>
    <w:rsid w:val="00184877"/>
    <w:rsid w:val="00184EA4"/>
    <w:rsid w:val="00185380"/>
    <w:rsid w:val="00186F34"/>
    <w:rsid w:val="00187043"/>
    <w:rsid w:val="0018711E"/>
    <w:rsid w:val="00187B27"/>
    <w:rsid w:val="00187F85"/>
    <w:rsid w:val="00187FD2"/>
    <w:rsid w:val="001902E6"/>
    <w:rsid w:val="00192B97"/>
    <w:rsid w:val="001931B3"/>
    <w:rsid w:val="00195484"/>
    <w:rsid w:val="0019553C"/>
    <w:rsid w:val="00195B4A"/>
    <w:rsid w:val="001966F2"/>
    <w:rsid w:val="00197A96"/>
    <w:rsid w:val="001A19C9"/>
    <w:rsid w:val="001A2111"/>
    <w:rsid w:val="001A26C9"/>
    <w:rsid w:val="001A4D9B"/>
    <w:rsid w:val="001A53C6"/>
    <w:rsid w:val="001A541A"/>
    <w:rsid w:val="001A5649"/>
    <w:rsid w:val="001A57DC"/>
    <w:rsid w:val="001A6D62"/>
    <w:rsid w:val="001A7126"/>
    <w:rsid w:val="001A7873"/>
    <w:rsid w:val="001B11FF"/>
    <w:rsid w:val="001B44A3"/>
    <w:rsid w:val="001B4BC9"/>
    <w:rsid w:val="001B50E9"/>
    <w:rsid w:val="001B5E79"/>
    <w:rsid w:val="001B6EA4"/>
    <w:rsid w:val="001B7921"/>
    <w:rsid w:val="001C1722"/>
    <w:rsid w:val="001C392F"/>
    <w:rsid w:val="001C4A37"/>
    <w:rsid w:val="001C5731"/>
    <w:rsid w:val="001C70CE"/>
    <w:rsid w:val="001D086B"/>
    <w:rsid w:val="001D09C0"/>
    <w:rsid w:val="001D282E"/>
    <w:rsid w:val="001D28E5"/>
    <w:rsid w:val="001D3843"/>
    <w:rsid w:val="001D3F67"/>
    <w:rsid w:val="001D3F91"/>
    <w:rsid w:val="001D5784"/>
    <w:rsid w:val="001D5843"/>
    <w:rsid w:val="001D5DBC"/>
    <w:rsid w:val="001D673C"/>
    <w:rsid w:val="001D7B28"/>
    <w:rsid w:val="001E0B91"/>
    <w:rsid w:val="001E146F"/>
    <w:rsid w:val="001E2372"/>
    <w:rsid w:val="001E323F"/>
    <w:rsid w:val="001E32FE"/>
    <w:rsid w:val="001E4E64"/>
    <w:rsid w:val="001E5C80"/>
    <w:rsid w:val="001E62FF"/>
    <w:rsid w:val="001E78B9"/>
    <w:rsid w:val="001E797D"/>
    <w:rsid w:val="001F0FDD"/>
    <w:rsid w:val="001F18CC"/>
    <w:rsid w:val="001F3916"/>
    <w:rsid w:val="001F4FCB"/>
    <w:rsid w:val="001F5AED"/>
    <w:rsid w:val="001F786B"/>
    <w:rsid w:val="001F7CD2"/>
    <w:rsid w:val="00201001"/>
    <w:rsid w:val="002019F4"/>
    <w:rsid w:val="00201B01"/>
    <w:rsid w:val="00203F3A"/>
    <w:rsid w:val="002044FB"/>
    <w:rsid w:val="00204605"/>
    <w:rsid w:val="00210704"/>
    <w:rsid w:val="00210AA6"/>
    <w:rsid w:val="0021138E"/>
    <w:rsid w:val="00211F5C"/>
    <w:rsid w:val="00211FF0"/>
    <w:rsid w:val="00212B03"/>
    <w:rsid w:val="00212D39"/>
    <w:rsid w:val="00213AAA"/>
    <w:rsid w:val="00215F41"/>
    <w:rsid w:val="00216476"/>
    <w:rsid w:val="00220E02"/>
    <w:rsid w:val="00223105"/>
    <w:rsid w:val="002232D2"/>
    <w:rsid w:val="0022480E"/>
    <w:rsid w:val="00224B71"/>
    <w:rsid w:val="002272DF"/>
    <w:rsid w:val="00227824"/>
    <w:rsid w:val="00227A70"/>
    <w:rsid w:val="00227DAD"/>
    <w:rsid w:val="0023038F"/>
    <w:rsid w:val="002304F7"/>
    <w:rsid w:val="00231606"/>
    <w:rsid w:val="00231B4B"/>
    <w:rsid w:val="00232ADF"/>
    <w:rsid w:val="00232D34"/>
    <w:rsid w:val="002330E8"/>
    <w:rsid w:val="00234D88"/>
    <w:rsid w:val="00234F1B"/>
    <w:rsid w:val="0023601D"/>
    <w:rsid w:val="002367FE"/>
    <w:rsid w:val="00237D52"/>
    <w:rsid w:val="00237F6D"/>
    <w:rsid w:val="0024476F"/>
    <w:rsid w:val="00245D5D"/>
    <w:rsid w:val="00246696"/>
    <w:rsid w:val="002467CA"/>
    <w:rsid w:val="00247E26"/>
    <w:rsid w:val="002505D2"/>
    <w:rsid w:val="00250884"/>
    <w:rsid w:val="002511AF"/>
    <w:rsid w:val="002515EB"/>
    <w:rsid w:val="00251EA3"/>
    <w:rsid w:val="00252A82"/>
    <w:rsid w:val="00253204"/>
    <w:rsid w:val="00254143"/>
    <w:rsid w:val="002553F3"/>
    <w:rsid w:val="00255B1D"/>
    <w:rsid w:val="00257D55"/>
    <w:rsid w:val="002614D2"/>
    <w:rsid w:val="00261702"/>
    <w:rsid w:val="00261F98"/>
    <w:rsid w:val="00262D99"/>
    <w:rsid w:val="0026355F"/>
    <w:rsid w:val="00263584"/>
    <w:rsid w:val="00263BB8"/>
    <w:rsid w:val="0026430A"/>
    <w:rsid w:val="00264BA1"/>
    <w:rsid w:val="002661B1"/>
    <w:rsid w:val="002708C0"/>
    <w:rsid w:val="002711FB"/>
    <w:rsid w:val="0027169B"/>
    <w:rsid w:val="00271997"/>
    <w:rsid w:val="00271F30"/>
    <w:rsid w:val="00272218"/>
    <w:rsid w:val="00272E01"/>
    <w:rsid w:val="00273C42"/>
    <w:rsid w:val="00276164"/>
    <w:rsid w:val="00276716"/>
    <w:rsid w:val="0027673A"/>
    <w:rsid w:val="0028555A"/>
    <w:rsid w:val="002856FB"/>
    <w:rsid w:val="002871E1"/>
    <w:rsid w:val="00287AC3"/>
    <w:rsid w:val="002901E4"/>
    <w:rsid w:val="00290428"/>
    <w:rsid w:val="00290778"/>
    <w:rsid w:val="002908E9"/>
    <w:rsid w:val="002917B9"/>
    <w:rsid w:val="00291DF7"/>
    <w:rsid w:val="0029375A"/>
    <w:rsid w:val="0029377B"/>
    <w:rsid w:val="00293D2B"/>
    <w:rsid w:val="0029459D"/>
    <w:rsid w:val="00295186"/>
    <w:rsid w:val="00295B0B"/>
    <w:rsid w:val="002970EB"/>
    <w:rsid w:val="0029738F"/>
    <w:rsid w:val="002A31E6"/>
    <w:rsid w:val="002A45E1"/>
    <w:rsid w:val="002A46C2"/>
    <w:rsid w:val="002A5058"/>
    <w:rsid w:val="002A5562"/>
    <w:rsid w:val="002A595F"/>
    <w:rsid w:val="002B16DC"/>
    <w:rsid w:val="002B1883"/>
    <w:rsid w:val="002B2763"/>
    <w:rsid w:val="002B29A7"/>
    <w:rsid w:val="002B2ED6"/>
    <w:rsid w:val="002B31CF"/>
    <w:rsid w:val="002B60DF"/>
    <w:rsid w:val="002B6121"/>
    <w:rsid w:val="002B6211"/>
    <w:rsid w:val="002B6E32"/>
    <w:rsid w:val="002C0ED1"/>
    <w:rsid w:val="002C18C4"/>
    <w:rsid w:val="002C1908"/>
    <w:rsid w:val="002C2016"/>
    <w:rsid w:val="002C201A"/>
    <w:rsid w:val="002C24A7"/>
    <w:rsid w:val="002C3239"/>
    <w:rsid w:val="002C3AF9"/>
    <w:rsid w:val="002C4683"/>
    <w:rsid w:val="002C4D8C"/>
    <w:rsid w:val="002C5032"/>
    <w:rsid w:val="002C6005"/>
    <w:rsid w:val="002C608A"/>
    <w:rsid w:val="002C6355"/>
    <w:rsid w:val="002C6D98"/>
    <w:rsid w:val="002C771A"/>
    <w:rsid w:val="002C7D12"/>
    <w:rsid w:val="002D0606"/>
    <w:rsid w:val="002D0BF2"/>
    <w:rsid w:val="002D2363"/>
    <w:rsid w:val="002D260C"/>
    <w:rsid w:val="002D39B2"/>
    <w:rsid w:val="002D5A4B"/>
    <w:rsid w:val="002E08F5"/>
    <w:rsid w:val="002E0FFF"/>
    <w:rsid w:val="002E1264"/>
    <w:rsid w:val="002E179D"/>
    <w:rsid w:val="002E1C2A"/>
    <w:rsid w:val="002E1E6F"/>
    <w:rsid w:val="002E2F56"/>
    <w:rsid w:val="002E35F5"/>
    <w:rsid w:val="002E3D6C"/>
    <w:rsid w:val="002E48F3"/>
    <w:rsid w:val="002E5A02"/>
    <w:rsid w:val="002E5F79"/>
    <w:rsid w:val="002E647A"/>
    <w:rsid w:val="002E7C9B"/>
    <w:rsid w:val="002F04A9"/>
    <w:rsid w:val="002F267A"/>
    <w:rsid w:val="002F3417"/>
    <w:rsid w:val="002F510A"/>
    <w:rsid w:val="002F5D57"/>
    <w:rsid w:val="002F62B6"/>
    <w:rsid w:val="002F63B9"/>
    <w:rsid w:val="002F6411"/>
    <w:rsid w:val="002F7978"/>
    <w:rsid w:val="002F7A7A"/>
    <w:rsid w:val="00301275"/>
    <w:rsid w:val="0030140E"/>
    <w:rsid w:val="003040CA"/>
    <w:rsid w:val="00305990"/>
    <w:rsid w:val="00306708"/>
    <w:rsid w:val="003069ED"/>
    <w:rsid w:val="00306DBC"/>
    <w:rsid w:val="003072DF"/>
    <w:rsid w:val="0030764C"/>
    <w:rsid w:val="003076C2"/>
    <w:rsid w:val="00307B5E"/>
    <w:rsid w:val="003106D7"/>
    <w:rsid w:val="003118CB"/>
    <w:rsid w:val="00312787"/>
    <w:rsid w:val="0031296D"/>
    <w:rsid w:val="00320371"/>
    <w:rsid w:val="003207C9"/>
    <w:rsid w:val="00320BA2"/>
    <w:rsid w:val="00321C9E"/>
    <w:rsid w:val="003236DA"/>
    <w:rsid w:val="00326526"/>
    <w:rsid w:val="00326FE6"/>
    <w:rsid w:val="0033086E"/>
    <w:rsid w:val="00331400"/>
    <w:rsid w:val="00333219"/>
    <w:rsid w:val="003338E4"/>
    <w:rsid w:val="00335688"/>
    <w:rsid w:val="003357A4"/>
    <w:rsid w:val="00337E6C"/>
    <w:rsid w:val="0034113F"/>
    <w:rsid w:val="00341FDE"/>
    <w:rsid w:val="00342D1A"/>
    <w:rsid w:val="00344247"/>
    <w:rsid w:val="00345587"/>
    <w:rsid w:val="00345AEB"/>
    <w:rsid w:val="00350590"/>
    <w:rsid w:val="003505AC"/>
    <w:rsid w:val="00350FB7"/>
    <w:rsid w:val="00352521"/>
    <w:rsid w:val="0035289F"/>
    <w:rsid w:val="00353FC5"/>
    <w:rsid w:val="00354E8D"/>
    <w:rsid w:val="0035505B"/>
    <w:rsid w:val="00355875"/>
    <w:rsid w:val="003559EC"/>
    <w:rsid w:val="00355A6D"/>
    <w:rsid w:val="00355EBB"/>
    <w:rsid w:val="00356D72"/>
    <w:rsid w:val="00357764"/>
    <w:rsid w:val="00357ACA"/>
    <w:rsid w:val="0036018B"/>
    <w:rsid w:val="00361B26"/>
    <w:rsid w:val="00361CB3"/>
    <w:rsid w:val="003630E1"/>
    <w:rsid w:val="0036514C"/>
    <w:rsid w:val="00365595"/>
    <w:rsid w:val="00365914"/>
    <w:rsid w:val="003674E2"/>
    <w:rsid w:val="00367B9C"/>
    <w:rsid w:val="00370EEC"/>
    <w:rsid w:val="00371C71"/>
    <w:rsid w:val="00372945"/>
    <w:rsid w:val="00372DDD"/>
    <w:rsid w:val="00374A9F"/>
    <w:rsid w:val="00374E3F"/>
    <w:rsid w:val="00376F27"/>
    <w:rsid w:val="003774A0"/>
    <w:rsid w:val="00380E29"/>
    <w:rsid w:val="00381FFC"/>
    <w:rsid w:val="00383237"/>
    <w:rsid w:val="00383587"/>
    <w:rsid w:val="0038377C"/>
    <w:rsid w:val="00384284"/>
    <w:rsid w:val="00385257"/>
    <w:rsid w:val="003863CD"/>
    <w:rsid w:val="0038657D"/>
    <w:rsid w:val="00386A30"/>
    <w:rsid w:val="00387534"/>
    <w:rsid w:val="00387A69"/>
    <w:rsid w:val="00387C46"/>
    <w:rsid w:val="00390926"/>
    <w:rsid w:val="0039150D"/>
    <w:rsid w:val="00393C8F"/>
    <w:rsid w:val="00394E28"/>
    <w:rsid w:val="0039533C"/>
    <w:rsid w:val="0039681D"/>
    <w:rsid w:val="003A1358"/>
    <w:rsid w:val="003A16DF"/>
    <w:rsid w:val="003A18DA"/>
    <w:rsid w:val="003A1F12"/>
    <w:rsid w:val="003A2D1D"/>
    <w:rsid w:val="003A38D1"/>
    <w:rsid w:val="003A3CF3"/>
    <w:rsid w:val="003A70E2"/>
    <w:rsid w:val="003A7427"/>
    <w:rsid w:val="003B0F44"/>
    <w:rsid w:val="003B1219"/>
    <w:rsid w:val="003B1D68"/>
    <w:rsid w:val="003B28AB"/>
    <w:rsid w:val="003B35CD"/>
    <w:rsid w:val="003B35E9"/>
    <w:rsid w:val="003B401A"/>
    <w:rsid w:val="003B57F9"/>
    <w:rsid w:val="003B5CB0"/>
    <w:rsid w:val="003B5F16"/>
    <w:rsid w:val="003B6086"/>
    <w:rsid w:val="003B7CD9"/>
    <w:rsid w:val="003C0FC5"/>
    <w:rsid w:val="003C1D99"/>
    <w:rsid w:val="003C38D1"/>
    <w:rsid w:val="003C3B20"/>
    <w:rsid w:val="003C3C47"/>
    <w:rsid w:val="003C4B00"/>
    <w:rsid w:val="003C7BC5"/>
    <w:rsid w:val="003C7F29"/>
    <w:rsid w:val="003D0BE6"/>
    <w:rsid w:val="003D137C"/>
    <w:rsid w:val="003D4CAD"/>
    <w:rsid w:val="003D4F52"/>
    <w:rsid w:val="003D505D"/>
    <w:rsid w:val="003D5D8C"/>
    <w:rsid w:val="003D622E"/>
    <w:rsid w:val="003E0953"/>
    <w:rsid w:val="003E13DA"/>
    <w:rsid w:val="003E2A89"/>
    <w:rsid w:val="003E4958"/>
    <w:rsid w:val="003E5587"/>
    <w:rsid w:val="003E5C3A"/>
    <w:rsid w:val="003E5E53"/>
    <w:rsid w:val="003E7879"/>
    <w:rsid w:val="003F0CD8"/>
    <w:rsid w:val="003F0D56"/>
    <w:rsid w:val="003F0E4E"/>
    <w:rsid w:val="003F10DD"/>
    <w:rsid w:val="003F1A63"/>
    <w:rsid w:val="003F2A04"/>
    <w:rsid w:val="003F2DCD"/>
    <w:rsid w:val="003F38B1"/>
    <w:rsid w:val="003F4519"/>
    <w:rsid w:val="003F4EEE"/>
    <w:rsid w:val="003F5658"/>
    <w:rsid w:val="003F6895"/>
    <w:rsid w:val="003F6E25"/>
    <w:rsid w:val="003F6F03"/>
    <w:rsid w:val="003F7764"/>
    <w:rsid w:val="003F7DB7"/>
    <w:rsid w:val="00400744"/>
    <w:rsid w:val="00402358"/>
    <w:rsid w:val="0040569F"/>
    <w:rsid w:val="004059BD"/>
    <w:rsid w:val="00406051"/>
    <w:rsid w:val="004060BB"/>
    <w:rsid w:val="00406BA7"/>
    <w:rsid w:val="0040754D"/>
    <w:rsid w:val="004100C6"/>
    <w:rsid w:val="00412785"/>
    <w:rsid w:val="00414C85"/>
    <w:rsid w:val="00414C8D"/>
    <w:rsid w:val="00416F64"/>
    <w:rsid w:val="004175ED"/>
    <w:rsid w:val="00417648"/>
    <w:rsid w:val="00417853"/>
    <w:rsid w:val="0042011F"/>
    <w:rsid w:val="004201F8"/>
    <w:rsid w:val="004213A3"/>
    <w:rsid w:val="00422137"/>
    <w:rsid w:val="00422294"/>
    <w:rsid w:val="004226DD"/>
    <w:rsid w:val="00422878"/>
    <w:rsid w:val="00422A5E"/>
    <w:rsid w:val="00424565"/>
    <w:rsid w:val="004248F6"/>
    <w:rsid w:val="00424C41"/>
    <w:rsid w:val="00425196"/>
    <w:rsid w:val="00425464"/>
    <w:rsid w:val="00425E2A"/>
    <w:rsid w:val="0042720C"/>
    <w:rsid w:val="00427E68"/>
    <w:rsid w:val="00430775"/>
    <w:rsid w:val="00430EBF"/>
    <w:rsid w:val="00431920"/>
    <w:rsid w:val="00432F68"/>
    <w:rsid w:val="004354A8"/>
    <w:rsid w:val="00435545"/>
    <w:rsid w:val="00436B00"/>
    <w:rsid w:val="00442347"/>
    <w:rsid w:val="0044309A"/>
    <w:rsid w:val="00444271"/>
    <w:rsid w:val="00444547"/>
    <w:rsid w:val="00444DF8"/>
    <w:rsid w:val="00444FB2"/>
    <w:rsid w:val="00445E0F"/>
    <w:rsid w:val="00446F69"/>
    <w:rsid w:val="0044702C"/>
    <w:rsid w:val="00451F36"/>
    <w:rsid w:val="00452DE3"/>
    <w:rsid w:val="004535EC"/>
    <w:rsid w:val="00454BD8"/>
    <w:rsid w:val="00455C3F"/>
    <w:rsid w:val="00456727"/>
    <w:rsid w:val="00456D2B"/>
    <w:rsid w:val="0045712F"/>
    <w:rsid w:val="00457A9E"/>
    <w:rsid w:val="00457B16"/>
    <w:rsid w:val="00460833"/>
    <w:rsid w:val="00463280"/>
    <w:rsid w:val="00464EC2"/>
    <w:rsid w:val="004710FB"/>
    <w:rsid w:val="00471BCC"/>
    <w:rsid w:val="00471D13"/>
    <w:rsid w:val="0047372B"/>
    <w:rsid w:val="004746DD"/>
    <w:rsid w:val="0047492A"/>
    <w:rsid w:val="004749A6"/>
    <w:rsid w:val="00474C0E"/>
    <w:rsid w:val="00476943"/>
    <w:rsid w:val="0047783E"/>
    <w:rsid w:val="00480706"/>
    <w:rsid w:val="0048156C"/>
    <w:rsid w:val="00482C69"/>
    <w:rsid w:val="00483637"/>
    <w:rsid w:val="00484A39"/>
    <w:rsid w:val="0048533A"/>
    <w:rsid w:val="00486C85"/>
    <w:rsid w:val="00487633"/>
    <w:rsid w:val="00490287"/>
    <w:rsid w:val="00491636"/>
    <w:rsid w:val="00491BDD"/>
    <w:rsid w:val="0049235C"/>
    <w:rsid w:val="00492E6E"/>
    <w:rsid w:val="00493694"/>
    <w:rsid w:val="0049433F"/>
    <w:rsid w:val="00494E85"/>
    <w:rsid w:val="004950BB"/>
    <w:rsid w:val="00495920"/>
    <w:rsid w:val="00495FDF"/>
    <w:rsid w:val="004967B5"/>
    <w:rsid w:val="004971A5"/>
    <w:rsid w:val="004975B7"/>
    <w:rsid w:val="004A114A"/>
    <w:rsid w:val="004A1348"/>
    <w:rsid w:val="004A1BDD"/>
    <w:rsid w:val="004A3803"/>
    <w:rsid w:val="004A3930"/>
    <w:rsid w:val="004A7388"/>
    <w:rsid w:val="004A74F0"/>
    <w:rsid w:val="004B2BBA"/>
    <w:rsid w:val="004B3658"/>
    <w:rsid w:val="004B3AC8"/>
    <w:rsid w:val="004B4725"/>
    <w:rsid w:val="004B6747"/>
    <w:rsid w:val="004B7407"/>
    <w:rsid w:val="004B768D"/>
    <w:rsid w:val="004C1BF5"/>
    <w:rsid w:val="004C2D71"/>
    <w:rsid w:val="004C403C"/>
    <w:rsid w:val="004C5582"/>
    <w:rsid w:val="004C64FF"/>
    <w:rsid w:val="004C72CC"/>
    <w:rsid w:val="004C78AF"/>
    <w:rsid w:val="004C7A00"/>
    <w:rsid w:val="004D0F2F"/>
    <w:rsid w:val="004D22D9"/>
    <w:rsid w:val="004D3C22"/>
    <w:rsid w:val="004D4BA2"/>
    <w:rsid w:val="004D568D"/>
    <w:rsid w:val="004D5C82"/>
    <w:rsid w:val="004D6647"/>
    <w:rsid w:val="004D6D9F"/>
    <w:rsid w:val="004D7EFD"/>
    <w:rsid w:val="004E012F"/>
    <w:rsid w:val="004E14DE"/>
    <w:rsid w:val="004E1F7C"/>
    <w:rsid w:val="004E27D5"/>
    <w:rsid w:val="004E31B6"/>
    <w:rsid w:val="004E3BAA"/>
    <w:rsid w:val="004E420B"/>
    <w:rsid w:val="004E4AB7"/>
    <w:rsid w:val="004E4C7F"/>
    <w:rsid w:val="004F3681"/>
    <w:rsid w:val="004F370C"/>
    <w:rsid w:val="004F44E4"/>
    <w:rsid w:val="004F4B56"/>
    <w:rsid w:val="004F5A9A"/>
    <w:rsid w:val="004F6AAC"/>
    <w:rsid w:val="004F6B67"/>
    <w:rsid w:val="004F6C2C"/>
    <w:rsid w:val="004F7583"/>
    <w:rsid w:val="00500F76"/>
    <w:rsid w:val="005018DE"/>
    <w:rsid w:val="00501B45"/>
    <w:rsid w:val="005064EF"/>
    <w:rsid w:val="00512434"/>
    <w:rsid w:val="00512884"/>
    <w:rsid w:val="00512FA9"/>
    <w:rsid w:val="00513E88"/>
    <w:rsid w:val="00513F10"/>
    <w:rsid w:val="00514C4B"/>
    <w:rsid w:val="0051522C"/>
    <w:rsid w:val="00515CEA"/>
    <w:rsid w:val="00515EB3"/>
    <w:rsid w:val="005201E5"/>
    <w:rsid w:val="005204BD"/>
    <w:rsid w:val="00520D4D"/>
    <w:rsid w:val="005223F8"/>
    <w:rsid w:val="005225BB"/>
    <w:rsid w:val="005234E5"/>
    <w:rsid w:val="0052381F"/>
    <w:rsid w:val="00523A90"/>
    <w:rsid w:val="0052466B"/>
    <w:rsid w:val="00524837"/>
    <w:rsid w:val="00525376"/>
    <w:rsid w:val="0052615A"/>
    <w:rsid w:val="005263F4"/>
    <w:rsid w:val="00526F51"/>
    <w:rsid w:val="005277EE"/>
    <w:rsid w:val="0053082B"/>
    <w:rsid w:val="00532311"/>
    <w:rsid w:val="00534F9E"/>
    <w:rsid w:val="00537D11"/>
    <w:rsid w:val="005412B0"/>
    <w:rsid w:val="005418EB"/>
    <w:rsid w:val="00541B90"/>
    <w:rsid w:val="00541CFF"/>
    <w:rsid w:val="00541E66"/>
    <w:rsid w:val="00542BE2"/>
    <w:rsid w:val="0054316E"/>
    <w:rsid w:val="0054493F"/>
    <w:rsid w:val="00546211"/>
    <w:rsid w:val="00546E6F"/>
    <w:rsid w:val="005472A2"/>
    <w:rsid w:val="00547810"/>
    <w:rsid w:val="005508D6"/>
    <w:rsid w:val="005511B5"/>
    <w:rsid w:val="0055298F"/>
    <w:rsid w:val="005534D5"/>
    <w:rsid w:val="005539F6"/>
    <w:rsid w:val="00563269"/>
    <w:rsid w:val="005632ED"/>
    <w:rsid w:val="0056394F"/>
    <w:rsid w:val="0056416A"/>
    <w:rsid w:val="00564D70"/>
    <w:rsid w:val="00566702"/>
    <w:rsid w:val="0057108A"/>
    <w:rsid w:val="005710AF"/>
    <w:rsid w:val="00572372"/>
    <w:rsid w:val="00572FAD"/>
    <w:rsid w:val="00572FE0"/>
    <w:rsid w:val="005734CA"/>
    <w:rsid w:val="005736F8"/>
    <w:rsid w:val="005751C5"/>
    <w:rsid w:val="00575230"/>
    <w:rsid w:val="005753D2"/>
    <w:rsid w:val="0057569A"/>
    <w:rsid w:val="0057777A"/>
    <w:rsid w:val="0058078D"/>
    <w:rsid w:val="00580A06"/>
    <w:rsid w:val="00581034"/>
    <w:rsid w:val="00581A9F"/>
    <w:rsid w:val="00582E14"/>
    <w:rsid w:val="00583BF0"/>
    <w:rsid w:val="0058413D"/>
    <w:rsid w:val="005847D5"/>
    <w:rsid w:val="00585035"/>
    <w:rsid w:val="00585A35"/>
    <w:rsid w:val="00586DAA"/>
    <w:rsid w:val="00590A16"/>
    <w:rsid w:val="00591FCA"/>
    <w:rsid w:val="00592288"/>
    <w:rsid w:val="0059379B"/>
    <w:rsid w:val="00596EC5"/>
    <w:rsid w:val="005977A4"/>
    <w:rsid w:val="00597E59"/>
    <w:rsid w:val="005A0D3A"/>
    <w:rsid w:val="005A1668"/>
    <w:rsid w:val="005A16C6"/>
    <w:rsid w:val="005A1CFE"/>
    <w:rsid w:val="005A2968"/>
    <w:rsid w:val="005A4654"/>
    <w:rsid w:val="005A4A4C"/>
    <w:rsid w:val="005A6008"/>
    <w:rsid w:val="005A72B8"/>
    <w:rsid w:val="005B1903"/>
    <w:rsid w:val="005B3722"/>
    <w:rsid w:val="005B4213"/>
    <w:rsid w:val="005B4A1C"/>
    <w:rsid w:val="005B56E7"/>
    <w:rsid w:val="005B5DFD"/>
    <w:rsid w:val="005B7C86"/>
    <w:rsid w:val="005C06B3"/>
    <w:rsid w:val="005C0CD1"/>
    <w:rsid w:val="005C11B1"/>
    <w:rsid w:val="005C19F6"/>
    <w:rsid w:val="005C210B"/>
    <w:rsid w:val="005C25D2"/>
    <w:rsid w:val="005C357F"/>
    <w:rsid w:val="005C4009"/>
    <w:rsid w:val="005C4244"/>
    <w:rsid w:val="005C4F01"/>
    <w:rsid w:val="005C5ADC"/>
    <w:rsid w:val="005C5B74"/>
    <w:rsid w:val="005C667D"/>
    <w:rsid w:val="005C7CFB"/>
    <w:rsid w:val="005D2C90"/>
    <w:rsid w:val="005D54E4"/>
    <w:rsid w:val="005D58F9"/>
    <w:rsid w:val="005D6958"/>
    <w:rsid w:val="005D774E"/>
    <w:rsid w:val="005E0840"/>
    <w:rsid w:val="005E24B2"/>
    <w:rsid w:val="005E3ACF"/>
    <w:rsid w:val="005E4834"/>
    <w:rsid w:val="005E5261"/>
    <w:rsid w:val="005E5DB7"/>
    <w:rsid w:val="005E703B"/>
    <w:rsid w:val="005E734F"/>
    <w:rsid w:val="005E7B54"/>
    <w:rsid w:val="005F0507"/>
    <w:rsid w:val="005F2623"/>
    <w:rsid w:val="005F3CD4"/>
    <w:rsid w:val="005F4519"/>
    <w:rsid w:val="005F4526"/>
    <w:rsid w:val="005F59B9"/>
    <w:rsid w:val="005F6370"/>
    <w:rsid w:val="005F7063"/>
    <w:rsid w:val="005F7390"/>
    <w:rsid w:val="005F79D2"/>
    <w:rsid w:val="00600808"/>
    <w:rsid w:val="00600D41"/>
    <w:rsid w:val="006011C5"/>
    <w:rsid w:val="00604534"/>
    <w:rsid w:val="00604FA0"/>
    <w:rsid w:val="006058C7"/>
    <w:rsid w:val="00605CDE"/>
    <w:rsid w:val="00605E40"/>
    <w:rsid w:val="00606EFA"/>
    <w:rsid w:val="00607CEB"/>
    <w:rsid w:val="00612435"/>
    <w:rsid w:val="00612599"/>
    <w:rsid w:val="00612D2C"/>
    <w:rsid w:val="00613D96"/>
    <w:rsid w:val="00614630"/>
    <w:rsid w:val="006148E9"/>
    <w:rsid w:val="00615CD1"/>
    <w:rsid w:val="00616681"/>
    <w:rsid w:val="00617625"/>
    <w:rsid w:val="00620546"/>
    <w:rsid w:val="00620FB5"/>
    <w:rsid w:val="00621A73"/>
    <w:rsid w:val="006229A6"/>
    <w:rsid w:val="006231AB"/>
    <w:rsid w:val="0062351B"/>
    <w:rsid w:val="006246F2"/>
    <w:rsid w:val="00627D58"/>
    <w:rsid w:val="006310AD"/>
    <w:rsid w:val="00631235"/>
    <w:rsid w:val="006314E5"/>
    <w:rsid w:val="00632394"/>
    <w:rsid w:val="00632CDC"/>
    <w:rsid w:val="00633BBE"/>
    <w:rsid w:val="00634143"/>
    <w:rsid w:val="0063596E"/>
    <w:rsid w:val="00635C12"/>
    <w:rsid w:val="00635EF7"/>
    <w:rsid w:val="00636823"/>
    <w:rsid w:val="00636D81"/>
    <w:rsid w:val="00640862"/>
    <w:rsid w:val="00640DB3"/>
    <w:rsid w:val="00641155"/>
    <w:rsid w:val="0064348C"/>
    <w:rsid w:val="00645CD8"/>
    <w:rsid w:val="006479D9"/>
    <w:rsid w:val="00647B51"/>
    <w:rsid w:val="00650634"/>
    <w:rsid w:val="006519DE"/>
    <w:rsid w:val="00651AE8"/>
    <w:rsid w:val="00652A3B"/>
    <w:rsid w:val="00654C95"/>
    <w:rsid w:val="00654FD7"/>
    <w:rsid w:val="0065581A"/>
    <w:rsid w:val="006560C9"/>
    <w:rsid w:val="00656F81"/>
    <w:rsid w:val="006570F0"/>
    <w:rsid w:val="00660A58"/>
    <w:rsid w:val="00663B3B"/>
    <w:rsid w:val="00663DEE"/>
    <w:rsid w:val="00664534"/>
    <w:rsid w:val="0066750F"/>
    <w:rsid w:val="00667660"/>
    <w:rsid w:val="00667D70"/>
    <w:rsid w:val="0067188C"/>
    <w:rsid w:val="00673034"/>
    <w:rsid w:val="00673E45"/>
    <w:rsid w:val="00674473"/>
    <w:rsid w:val="00675CE4"/>
    <w:rsid w:val="00676449"/>
    <w:rsid w:val="00677C79"/>
    <w:rsid w:val="00677DF5"/>
    <w:rsid w:val="00680BC5"/>
    <w:rsid w:val="00682E4E"/>
    <w:rsid w:val="00683446"/>
    <w:rsid w:val="006838E7"/>
    <w:rsid w:val="0068395E"/>
    <w:rsid w:val="00685BB6"/>
    <w:rsid w:val="00685F55"/>
    <w:rsid w:val="006861B5"/>
    <w:rsid w:val="00686599"/>
    <w:rsid w:val="00687260"/>
    <w:rsid w:val="006874E9"/>
    <w:rsid w:val="006902B3"/>
    <w:rsid w:val="00690BBD"/>
    <w:rsid w:val="006916F0"/>
    <w:rsid w:val="006919C9"/>
    <w:rsid w:val="00692E83"/>
    <w:rsid w:val="006935BE"/>
    <w:rsid w:val="00693870"/>
    <w:rsid w:val="006946B5"/>
    <w:rsid w:val="00694CDA"/>
    <w:rsid w:val="0069716C"/>
    <w:rsid w:val="006975F6"/>
    <w:rsid w:val="006A0E05"/>
    <w:rsid w:val="006A0E1C"/>
    <w:rsid w:val="006A1E78"/>
    <w:rsid w:val="006A2422"/>
    <w:rsid w:val="006A2BC9"/>
    <w:rsid w:val="006A3C80"/>
    <w:rsid w:val="006A414D"/>
    <w:rsid w:val="006A4592"/>
    <w:rsid w:val="006A4D98"/>
    <w:rsid w:val="006A544D"/>
    <w:rsid w:val="006B0B83"/>
    <w:rsid w:val="006B0BF6"/>
    <w:rsid w:val="006B37D3"/>
    <w:rsid w:val="006B3C3C"/>
    <w:rsid w:val="006B3C65"/>
    <w:rsid w:val="006B42C5"/>
    <w:rsid w:val="006B6387"/>
    <w:rsid w:val="006C0D44"/>
    <w:rsid w:val="006C10FC"/>
    <w:rsid w:val="006C18F5"/>
    <w:rsid w:val="006C1E1E"/>
    <w:rsid w:val="006C3FEE"/>
    <w:rsid w:val="006C4DE1"/>
    <w:rsid w:val="006D16D0"/>
    <w:rsid w:val="006D1942"/>
    <w:rsid w:val="006D3243"/>
    <w:rsid w:val="006D3E86"/>
    <w:rsid w:val="006D58BE"/>
    <w:rsid w:val="006D77C8"/>
    <w:rsid w:val="006D7A71"/>
    <w:rsid w:val="006E182A"/>
    <w:rsid w:val="006E2037"/>
    <w:rsid w:val="006E28D9"/>
    <w:rsid w:val="006E296E"/>
    <w:rsid w:val="006E3366"/>
    <w:rsid w:val="006E4A2A"/>
    <w:rsid w:val="006E6CF8"/>
    <w:rsid w:val="006E76ED"/>
    <w:rsid w:val="006E7F07"/>
    <w:rsid w:val="006F2958"/>
    <w:rsid w:val="006F2D66"/>
    <w:rsid w:val="006F5382"/>
    <w:rsid w:val="006F5672"/>
    <w:rsid w:val="006F5B52"/>
    <w:rsid w:val="006F5D73"/>
    <w:rsid w:val="006F7984"/>
    <w:rsid w:val="006F7E3A"/>
    <w:rsid w:val="00700191"/>
    <w:rsid w:val="00700289"/>
    <w:rsid w:val="007011EC"/>
    <w:rsid w:val="00701646"/>
    <w:rsid w:val="007037B1"/>
    <w:rsid w:val="00705035"/>
    <w:rsid w:val="0070579A"/>
    <w:rsid w:val="00706048"/>
    <w:rsid w:val="00706DA7"/>
    <w:rsid w:val="0070774C"/>
    <w:rsid w:val="00707776"/>
    <w:rsid w:val="0071026C"/>
    <w:rsid w:val="00712EE7"/>
    <w:rsid w:val="0071343B"/>
    <w:rsid w:val="00713659"/>
    <w:rsid w:val="007137A9"/>
    <w:rsid w:val="00716186"/>
    <w:rsid w:val="007163A6"/>
    <w:rsid w:val="0071705C"/>
    <w:rsid w:val="0071723F"/>
    <w:rsid w:val="00717469"/>
    <w:rsid w:val="0072643A"/>
    <w:rsid w:val="00726622"/>
    <w:rsid w:val="007267F6"/>
    <w:rsid w:val="00727797"/>
    <w:rsid w:val="00730516"/>
    <w:rsid w:val="0073093A"/>
    <w:rsid w:val="007357D1"/>
    <w:rsid w:val="00740ABD"/>
    <w:rsid w:val="00741C6E"/>
    <w:rsid w:val="00741F34"/>
    <w:rsid w:val="00744A74"/>
    <w:rsid w:val="007458DB"/>
    <w:rsid w:val="007465B4"/>
    <w:rsid w:val="00747978"/>
    <w:rsid w:val="007505F6"/>
    <w:rsid w:val="00750A1C"/>
    <w:rsid w:val="00750AE6"/>
    <w:rsid w:val="00751705"/>
    <w:rsid w:val="00754F26"/>
    <w:rsid w:val="007550A8"/>
    <w:rsid w:val="00756D58"/>
    <w:rsid w:val="00757329"/>
    <w:rsid w:val="0075772C"/>
    <w:rsid w:val="00757FFD"/>
    <w:rsid w:val="0076066F"/>
    <w:rsid w:val="00760B26"/>
    <w:rsid w:val="00760C60"/>
    <w:rsid w:val="0076229D"/>
    <w:rsid w:val="00762E2E"/>
    <w:rsid w:val="0076365C"/>
    <w:rsid w:val="00764AF6"/>
    <w:rsid w:val="007653F6"/>
    <w:rsid w:val="00766270"/>
    <w:rsid w:val="00766AEC"/>
    <w:rsid w:val="0076715D"/>
    <w:rsid w:val="0077141D"/>
    <w:rsid w:val="0077185F"/>
    <w:rsid w:val="007718B7"/>
    <w:rsid w:val="00771A02"/>
    <w:rsid w:val="00772820"/>
    <w:rsid w:val="00774628"/>
    <w:rsid w:val="007750C2"/>
    <w:rsid w:val="00775825"/>
    <w:rsid w:val="007760A6"/>
    <w:rsid w:val="0077764A"/>
    <w:rsid w:val="00777CAC"/>
    <w:rsid w:val="00777E77"/>
    <w:rsid w:val="00777FF1"/>
    <w:rsid w:val="00780E5B"/>
    <w:rsid w:val="00782908"/>
    <w:rsid w:val="00782C00"/>
    <w:rsid w:val="00783535"/>
    <w:rsid w:val="00783937"/>
    <w:rsid w:val="007851D5"/>
    <w:rsid w:val="00787C45"/>
    <w:rsid w:val="00790E1F"/>
    <w:rsid w:val="00790FCA"/>
    <w:rsid w:val="007924DE"/>
    <w:rsid w:val="00792941"/>
    <w:rsid w:val="00792A7F"/>
    <w:rsid w:val="00794116"/>
    <w:rsid w:val="007944BE"/>
    <w:rsid w:val="00795470"/>
    <w:rsid w:val="007A0C76"/>
    <w:rsid w:val="007A2F72"/>
    <w:rsid w:val="007A4838"/>
    <w:rsid w:val="007A5606"/>
    <w:rsid w:val="007A5A0F"/>
    <w:rsid w:val="007A5F16"/>
    <w:rsid w:val="007A6881"/>
    <w:rsid w:val="007A6961"/>
    <w:rsid w:val="007A6EDC"/>
    <w:rsid w:val="007B076E"/>
    <w:rsid w:val="007B4271"/>
    <w:rsid w:val="007B4781"/>
    <w:rsid w:val="007B5416"/>
    <w:rsid w:val="007B64E2"/>
    <w:rsid w:val="007C009A"/>
    <w:rsid w:val="007C065D"/>
    <w:rsid w:val="007C21BA"/>
    <w:rsid w:val="007C336C"/>
    <w:rsid w:val="007C33EF"/>
    <w:rsid w:val="007C4277"/>
    <w:rsid w:val="007C42E5"/>
    <w:rsid w:val="007C4948"/>
    <w:rsid w:val="007C4B43"/>
    <w:rsid w:val="007C530F"/>
    <w:rsid w:val="007C5B22"/>
    <w:rsid w:val="007C6DED"/>
    <w:rsid w:val="007C7C38"/>
    <w:rsid w:val="007C7F9A"/>
    <w:rsid w:val="007D116C"/>
    <w:rsid w:val="007D1A47"/>
    <w:rsid w:val="007D252B"/>
    <w:rsid w:val="007D2BAE"/>
    <w:rsid w:val="007D3621"/>
    <w:rsid w:val="007D385B"/>
    <w:rsid w:val="007D3E9D"/>
    <w:rsid w:val="007D4C9E"/>
    <w:rsid w:val="007D5972"/>
    <w:rsid w:val="007D5F34"/>
    <w:rsid w:val="007D7369"/>
    <w:rsid w:val="007E0102"/>
    <w:rsid w:val="007E109A"/>
    <w:rsid w:val="007E1543"/>
    <w:rsid w:val="007E1765"/>
    <w:rsid w:val="007E248A"/>
    <w:rsid w:val="007E299C"/>
    <w:rsid w:val="007E32CC"/>
    <w:rsid w:val="007E383C"/>
    <w:rsid w:val="007E3934"/>
    <w:rsid w:val="007E3C73"/>
    <w:rsid w:val="007E40D9"/>
    <w:rsid w:val="007E4B9D"/>
    <w:rsid w:val="007E4F47"/>
    <w:rsid w:val="007E739C"/>
    <w:rsid w:val="007F0885"/>
    <w:rsid w:val="007F1316"/>
    <w:rsid w:val="007F1ECF"/>
    <w:rsid w:val="007F2D6E"/>
    <w:rsid w:val="007F3895"/>
    <w:rsid w:val="007F585F"/>
    <w:rsid w:val="007F644B"/>
    <w:rsid w:val="007F79AF"/>
    <w:rsid w:val="008005E8"/>
    <w:rsid w:val="00802086"/>
    <w:rsid w:val="008027B7"/>
    <w:rsid w:val="00803744"/>
    <w:rsid w:val="00804DBD"/>
    <w:rsid w:val="0080529D"/>
    <w:rsid w:val="00807783"/>
    <w:rsid w:val="008101A5"/>
    <w:rsid w:val="008119FD"/>
    <w:rsid w:val="008127A8"/>
    <w:rsid w:val="00812B03"/>
    <w:rsid w:val="0081310C"/>
    <w:rsid w:val="008142A2"/>
    <w:rsid w:val="00814F64"/>
    <w:rsid w:val="00815B29"/>
    <w:rsid w:val="00816D15"/>
    <w:rsid w:val="00820264"/>
    <w:rsid w:val="00820A79"/>
    <w:rsid w:val="00821EE1"/>
    <w:rsid w:val="008223D4"/>
    <w:rsid w:val="00823BD1"/>
    <w:rsid w:val="00824CE5"/>
    <w:rsid w:val="00824EB9"/>
    <w:rsid w:val="0082664E"/>
    <w:rsid w:val="00831B69"/>
    <w:rsid w:val="00832AD3"/>
    <w:rsid w:val="008332EE"/>
    <w:rsid w:val="00833D14"/>
    <w:rsid w:val="00835643"/>
    <w:rsid w:val="00835CAF"/>
    <w:rsid w:val="00835D6A"/>
    <w:rsid w:val="008361A1"/>
    <w:rsid w:val="0083686B"/>
    <w:rsid w:val="008402B1"/>
    <w:rsid w:val="00840326"/>
    <w:rsid w:val="008419D0"/>
    <w:rsid w:val="00843451"/>
    <w:rsid w:val="00844189"/>
    <w:rsid w:val="00845488"/>
    <w:rsid w:val="00846B68"/>
    <w:rsid w:val="00846F4E"/>
    <w:rsid w:val="008519CB"/>
    <w:rsid w:val="00854587"/>
    <w:rsid w:val="008554CB"/>
    <w:rsid w:val="00855C2E"/>
    <w:rsid w:val="0086012A"/>
    <w:rsid w:val="008619A4"/>
    <w:rsid w:val="00861B79"/>
    <w:rsid w:val="00862FC7"/>
    <w:rsid w:val="0086507E"/>
    <w:rsid w:val="008651AD"/>
    <w:rsid w:val="00865599"/>
    <w:rsid w:val="00865F1E"/>
    <w:rsid w:val="00867821"/>
    <w:rsid w:val="00870EA2"/>
    <w:rsid w:val="008711E0"/>
    <w:rsid w:val="00873203"/>
    <w:rsid w:val="0087492E"/>
    <w:rsid w:val="00876B40"/>
    <w:rsid w:val="00876E1A"/>
    <w:rsid w:val="00880094"/>
    <w:rsid w:val="0088031D"/>
    <w:rsid w:val="00880829"/>
    <w:rsid w:val="00880D07"/>
    <w:rsid w:val="00883A9C"/>
    <w:rsid w:val="00884333"/>
    <w:rsid w:val="00887C88"/>
    <w:rsid w:val="00887F1F"/>
    <w:rsid w:val="00890C3B"/>
    <w:rsid w:val="00892324"/>
    <w:rsid w:val="008932CB"/>
    <w:rsid w:val="0089424B"/>
    <w:rsid w:val="00894AF7"/>
    <w:rsid w:val="0089681C"/>
    <w:rsid w:val="008969A0"/>
    <w:rsid w:val="008A012A"/>
    <w:rsid w:val="008A1B95"/>
    <w:rsid w:val="008A2258"/>
    <w:rsid w:val="008A42E3"/>
    <w:rsid w:val="008A476E"/>
    <w:rsid w:val="008A4D8C"/>
    <w:rsid w:val="008A5A7E"/>
    <w:rsid w:val="008A6183"/>
    <w:rsid w:val="008A6951"/>
    <w:rsid w:val="008A6ADD"/>
    <w:rsid w:val="008B0529"/>
    <w:rsid w:val="008B0828"/>
    <w:rsid w:val="008B1DFC"/>
    <w:rsid w:val="008B241C"/>
    <w:rsid w:val="008B2464"/>
    <w:rsid w:val="008B3EEB"/>
    <w:rsid w:val="008B45E5"/>
    <w:rsid w:val="008B54D6"/>
    <w:rsid w:val="008B562A"/>
    <w:rsid w:val="008B6A3B"/>
    <w:rsid w:val="008B6A8E"/>
    <w:rsid w:val="008C294E"/>
    <w:rsid w:val="008C2E53"/>
    <w:rsid w:val="008C2FD6"/>
    <w:rsid w:val="008C3619"/>
    <w:rsid w:val="008C40C3"/>
    <w:rsid w:val="008C5B1E"/>
    <w:rsid w:val="008D0EC9"/>
    <w:rsid w:val="008D11C1"/>
    <w:rsid w:val="008D1C84"/>
    <w:rsid w:val="008D1FEF"/>
    <w:rsid w:val="008D238B"/>
    <w:rsid w:val="008D2964"/>
    <w:rsid w:val="008D65DC"/>
    <w:rsid w:val="008D6A3D"/>
    <w:rsid w:val="008D6C0B"/>
    <w:rsid w:val="008D7F83"/>
    <w:rsid w:val="008E01B2"/>
    <w:rsid w:val="008E063D"/>
    <w:rsid w:val="008E10B8"/>
    <w:rsid w:val="008E1E59"/>
    <w:rsid w:val="008E1E70"/>
    <w:rsid w:val="008E24FD"/>
    <w:rsid w:val="008E2E92"/>
    <w:rsid w:val="008E3BB2"/>
    <w:rsid w:val="008E6221"/>
    <w:rsid w:val="008E77B8"/>
    <w:rsid w:val="008F0032"/>
    <w:rsid w:val="008F10A4"/>
    <w:rsid w:val="008F23FB"/>
    <w:rsid w:val="008F326E"/>
    <w:rsid w:val="008F3453"/>
    <w:rsid w:val="008F6FF4"/>
    <w:rsid w:val="008F788D"/>
    <w:rsid w:val="008F7C6C"/>
    <w:rsid w:val="008F7F3D"/>
    <w:rsid w:val="009013D8"/>
    <w:rsid w:val="00901EC6"/>
    <w:rsid w:val="009032FC"/>
    <w:rsid w:val="00903468"/>
    <w:rsid w:val="00903621"/>
    <w:rsid w:val="00904607"/>
    <w:rsid w:val="00904626"/>
    <w:rsid w:val="009057F0"/>
    <w:rsid w:val="00906E27"/>
    <w:rsid w:val="00907549"/>
    <w:rsid w:val="009075E3"/>
    <w:rsid w:val="00910E0F"/>
    <w:rsid w:val="009110B6"/>
    <w:rsid w:val="00911C97"/>
    <w:rsid w:val="009129C5"/>
    <w:rsid w:val="00912A77"/>
    <w:rsid w:val="00913011"/>
    <w:rsid w:val="00914681"/>
    <w:rsid w:val="0091480E"/>
    <w:rsid w:val="0091620D"/>
    <w:rsid w:val="00916746"/>
    <w:rsid w:val="00916C68"/>
    <w:rsid w:val="00917C6C"/>
    <w:rsid w:val="00921E1D"/>
    <w:rsid w:val="0092246C"/>
    <w:rsid w:val="00922C1D"/>
    <w:rsid w:val="009242B1"/>
    <w:rsid w:val="009258EB"/>
    <w:rsid w:val="0092608C"/>
    <w:rsid w:val="00926710"/>
    <w:rsid w:val="0092677F"/>
    <w:rsid w:val="00931D01"/>
    <w:rsid w:val="009322EF"/>
    <w:rsid w:val="00934C1F"/>
    <w:rsid w:val="00934CF3"/>
    <w:rsid w:val="0093531E"/>
    <w:rsid w:val="00935A52"/>
    <w:rsid w:val="00936F33"/>
    <w:rsid w:val="00937EEF"/>
    <w:rsid w:val="0094139A"/>
    <w:rsid w:val="00941FA8"/>
    <w:rsid w:val="00942023"/>
    <w:rsid w:val="0094359E"/>
    <w:rsid w:val="0094448D"/>
    <w:rsid w:val="009448C8"/>
    <w:rsid w:val="00946CA1"/>
    <w:rsid w:val="00946D37"/>
    <w:rsid w:val="00947D3E"/>
    <w:rsid w:val="009501E8"/>
    <w:rsid w:val="00950657"/>
    <w:rsid w:val="009521F4"/>
    <w:rsid w:val="00952625"/>
    <w:rsid w:val="009527F0"/>
    <w:rsid w:val="00952E38"/>
    <w:rsid w:val="00954485"/>
    <w:rsid w:val="00954AE2"/>
    <w:rsid w:val="0095672D"/>
    <w:rsid w:val="009605BD"/>
    <w:rsid w:val="00961155"/>
    <w:rsid w:val="009614D1"/>
    <w:rsid w:val="00963CF0"/>
    <w:rsid w:val="00964720"/>
    <w:rsid w:val="009676E8"/>
    <w:rsid w:val="0097120E"/>
    <w:rsid w:val="00971CAF"/>
    <w:rsid w:val="00971DC2"/>
    <w:rsid w:val="009723D4"/>
    <w:rsid w:val="00972913"/>
    <w:rsid w:val="00973B83"/>
    <w:rsid w:val="00973BB9"/>
    <w:rsid w:val="00974190"/>
    <w:rsid w:val="0097456C"/>
    <w:rsid w:val="00977832"/>
    <w:rsid w:val="009817C3"/>
    <w:rsid w:val="00981E80"/>
    <w:rsid w:val="00982071"/>
    <w:rsid w:val="00982919"/>
    <w:rsid w:val="00983886"/>
    <w:rsid w:val="0098419C"/>
    <w:rsid w:val="009845E3"/>
    <w:rsid w:val="00985CDF"/>
    <w:rsid w:val="00987500"/>
    <w:rsid w:val="00990987"/>
    <w:rsid w:val="00992946"/>
    <w:rsid w:val="0099374B"/>
    <w:rsid w:val="009944AD"/>
    <w:rsid w:val="00994B5E"/>
    <w:rsid w:val="0099583D"/>
    <w:rsid w:val="00995BFB"/>
    <w:rsid w:val="00995C59"/>
    <w:rsid w:val="009973E3"/>
    <w:rsid w:val="00997845"/>
    <w:rsid w:val="00997F81"/>
    <w:rsid w:val="009A1389"/>
    <w:rsid w:val="009A1637"/>
    <w:rsid w:val="009A35D9"/>
    <w:rsid w:val="009A42D9"/>
    <w:rsid w:val="009A4D67"/>
    <w:rsid w:val="009A56DA"/>
    <w:rsid w:val="009A57E1"/>
    <w:rsid w:val="009A7404"/>
    <w:rsid w:val="009B0CE3"/>
    <w:rsid w:val="009B0DDA"/>
    <w:rsid w:val="009B1229"/>
    <w:rsid w:val="009B15BB"/>
    <w:rsid w:val="009B15F0"/>
    <w:rsid w:val="009B2530"/>
    <w:rsid w:val="009B3B89"/>
    <w:rsid w:val="009B63EA"/>
    <w:rsid w:val="009B671C"/>
    <w:rsid w:val="009B7A50"/>
    <w:rsid w:val="009B7D1B"/>
    <w:rsid w:val="009C0A11"/>
    <w:rsid w:val="009C0A4A"/>
    <w:rsid w:val="009C1744"/>
    <w:rsid w:val="009C34F4"/>
    <w:rsid w:val="009C451C"/>
    <w:rsid w:val="009C474B"/>
    <w:rsid w:val="009C4F96"/>
    <w:rsid w:val="009C6C02"/>
    <w:rsid w:val="009D0267"/>
    <w:rsid w:val="009D23DF"/>
    <w:rsid w:val="009D2486"/>
    <w:rsid w:val="009D3397"/>
    <w:rsid w:val="009D486C"/>
    <w:rsid w:val="009D7091"/>
    <w:rsid w:val="009D77B0"/>
    <w:rsid w:val="009D7F61"/>
    <w:rsid w:val="009E179F"/>
    <w:rsid w:val="009E2F11"/>
    <w:rsid w:val="009E3EA8"/>
    <w:rsid w:val="009E544C"/>
    <w:rsid w:val="009E56E0"/>
    <w:rsid w:val="009E753A"/>
    <w:rsid w:val="009F131A"/>
    <w:rsid w:val="009F1BC6"/>
    <w:rsid w:val="009F39A9"/>
    <w:rsid w:val="009F3FA7"/>
    <w:rsid w:val="009F43DD"/>
    <w:rsid w:val="00A01057"/>
    <w:rsid w:val="00A02F89"/>
    <w:rsid w:val="00A033EE"/>
    <w:rsid w:val="00A036E7"/>
    <w:rsid w:val="00A04289"/>
    <w:rsid w:val="00A05E7B"/>
    <w:rsid w:val="00A07401"/>
    <w:rsid w:val="00A11309"/>
    <w:rsid w:val="00A11863"/>
    <w:rsid w:val="00A1194E"/>
    <w:rsid w:val="00A13D97"/>
    <w:rsid w:val="00A14210"/>
    <w:rsid w:val="00A1500E"/>
    <w:rsid w:val="00A15642"/>
    <w:rsid w:val="00A160CE"/>
    <w:rsid w:val="00A20088"/>
    <w:rsid w:val="00A20D7D"/>
    <w:rsid w:val="00A21002"/>
    <w:rsid w:val="00A2183A"/>
    <w:rsid w:val="00A230B6"/>
    <w:rsid w:val="00A24490"/>
    <w:rsid w:val="00A247F9"/>
    <w:rsid w:val="00A25260"/>
    <w:rsid w:val="00A27D6F"/>
    <w:rsid w:val="00A31D81"/>
    <w:rsid w:val="00A3233B"/>
    <w:rsid w:val="00A331DC"/>
    <w:rsid w:val="00A33B4D"/>
    <w:rsid w:val="00A33D1F"/>
    <w:rsid w:val="00A33D20"/>
    <w:rsid w:val="00A354E7"/>
    <w:rsid w:val="00A35E9C"/>
    <w:rsid w:val="00A3610A"/>
    <w:rsid w:val="00A36CAA"/>
    <w:rsid w:val="00A37A27"/>
    <w:rsid w:val="00A37D6B"/>
    <w:rsid w:val="00A409A4"/>
    <w:rsid w:val="00A40C7C"/>
    <w:rsid w:val="00A40F2F"/>
    <w:rsid w:val="00A410C7"/>
    <w:rsid w:val="00A41843"/>
    <w:rsid w:val="00A421B0"/>
    <w:rsid w:val="00A425E1"/>
    <w:rsid w:val="00A43AC1"/>
    <w:rsid w:val="00A43F29"/>
    <w:rsid w:val="00A44C32"/>
    <w:rsid w:val="00A44C74"/>
    <w:rsid w:val="00A45518"/>
    <w:rsid w:val="00A465A5"/>
    <w:rsid w:val="00A466C9"/>
    <w:rsid w:val="00A47D39"/>
    <w:rsid w:val="00A47F6E"/>
    <w:rsid w:val="00A51585"/>
    <w:rsid w:val="00A517D1"/>
    <w:rsid w:val="00A51BA4"/>
    <w:rsid w:val="00A52783"/>
    <w:rsid w:val="00A55145"/>
    <w:rsid w:val="00A56B71"/>
    <w:rsid w:val="00A56BEF"/>
    <w:rsid w:val="00A575B0"/>
    <w:rsid w:val="00A60F61"/>
    <w:rsid w:val="00A63550"/>
    <w:rsid w:val="00A63AF0"/>
    <w:rsid w:val="00A64F89"/>
    <w:rsid w:val="00A7287E"/>
    <w:rsid w:val="00A73BD7"/>
    <w:rsid w:val="00A7471B"/>
    <w:rsid w:val="00A7627A"/>
    <w:rsid w:val="00A76891"/>
    <w:rsid w:val="00A76B7E"/>
    <w:rsid w:val="00A76FAD"/>
    <w:rsid w:val="00A774E7"/>
    <w:rsid w:val="00A803BE"/>
    <w:rsid w:val="00A80872"/>
    <w:rsid w:val="00A819A6"/>
    <w:rsid w:val="00A82B17"/>
    <w:rsid w:val="00A83F4F"/>
    <w:rsid w:val="00A84A08"/>
    <w:rsid w:val="00A853FC"/>
    <w:rsid w:val="00A857FF"/>
    <w:rsid w:val="00A85C77"/>
    <w:rsid w:val="00A90337"/>
    <w:rsid w:val="00A91107"/>
    <w:rsid w:val="00A92168"/>
    <w:rsid w:val="00A93D67"/>
    <w:rsid w:val="00A94AE6"/>
    <w:rsid w:val="00A9547A"/>
    <w:rsid w:val="00A95D2E"/>
    <w:rsid w:val="00A9603A"/>
    <w:rsid w:val="00A97367"/>
    <w:rsid w:val="00A97D93"/>
    <w:rsid w:val="00AA0575"/>
    <w:rsid w:val="00AA0ADB"/>
    <w:rsid w:val="00AA1C61"/>
    <w:rsid w:val="00AA24D2"/>
    <w:rsid w:val="00AA283C"/>
    <w:rsid w:val="00AA2977"/>
    <w:rsid w:val="00AA2CB6"/>
    <w:rsid w:val="00AA403C"/>
    <w:rsid w:val="00AA6E71"/>
    <w:rsid w:val="00AA7AC6"/>
    <w:rsid w:val="00AB21E6"/>
    <w:rsid w:val="00AB2DC3"/>
    <w:rsid w:val="00AB3298"/>
    <w:rsid w:val="00AB33BD"/>
    <w:rsid w:val="00AB421D"/>
    <w:rsid w:val="00AB50DD"/>
    <w:rsid w:val="00AB58C0"/>
    <w:rsid w:val="00AB6BBD"/>
    <w:rsid w:val="00AC07C9"/>
    <w:rsid w:val="00AC2961"/>
    <w:rsid w:val="00AC2E8E"/>
    <w:rsid w:val="00AC621B"/>
    <w:rsid w:val="00AC76C9"/>
    <w:rsid w:val="00AC76D3"/>
    <w:rsid w:val="00AD0363"/>
    <w:rsid w:val="00AD044D"/>
    <w:rsid w:val="00AD116C"/>
    <w:rsid w:val="00AD1446"/>
    <w:rsid w:val="00AD170B"/>
    <w:rsid w:val="00AD1BA6"/>
    <w:rsid w:val="00AD2AAB"/>
    <w:rsid w:val="00AD4701"/>
    <w:rsid w:val="00AD51BB"/>
    <w:rsid w:val="00AD54C3"/>
    <w:rsid w:val="00AD584F"/>
    <w:rsid w:val="00AD59BA"/>
    <w:rsid w:val="00AD7155"/>
    <w:rsid w:val="00AE034D"/>
    <w:rsid w:val="00AE0612"/>
    <w:rsid w:val="00AE0877"/>
    <w:rsid w:val="00AE0A59"/>
    <w:rsid w:val="00AE189F"/>
    <w:rsid w:val="00AE1CB3"/>
    <w:rsid w:val="00AE1FD7"/>
    <w:rsid w:val="00AE29FB"/>
    <w:rsid w:val="00AE6100"/>
    <w:rsid w:val="00AE66B1"/>
    <w:rsid w:val="00AE6AAD"/>
    <w:rsid w:val="00AF00DB"/>
    <w:rsid w:val="00AF1F08"/>
    <w:rsid w:val="00AF3230"/>
    <w:rsid w:val="00AF32CE"/>
    <w:rsid w:val="00AF355C"/>
    <w:rsid w:val="00AF3776"/>
    <w:rsid w:val="00AF4647"/>
    <w:rsid w:val="00AF488E"/>
    <w:rsid w:val="00AF490C"/>
    <w:rsid w:val="00AF4BC0"/>
    <w:rsid w:val="00AF57F7"/>
    <w:rsid w:val="00AF6ACC"/>
    <w:rsid w:val="00AF7E87"/>
    <w:rsid w:val="00B016E7"/>
    <w:rsid w:val="00B02440"/>
    <w:rsid w:val="00B03CEE"/>
    <w:rsid w:val="00B05133"/>
    <w:rsid w:val="00B06D11"/>
    <w:rsid w:val="00B07DFE"/>
    <w:rsid w:val="00B10826"/>
    <w:rsid w:val="00B12D0E"/>
    <w:rsid w:val="00B12DBA"/>
    <w:rsid w:val="00B136B3"/>
    <w:rsid w:val="00B139C6"/>
    <w:rsid w:val="00B1416C"/>
    <w:rsid w:val="00B15F20"/>
    <w:rsid w:val="00B160AA"/>
    <w:rsid w:val="00B16976"/>
    <w:rsid w:val="00B1713F"/>
    <w:rsid w:val="00B171F3"/>
    <w:rsid w:val="00B2078A"/>
    <w:rsid w:val="00B229BE"/>
    <w:rsid w:val="00B2426A"/>
    <w:rsid w:val="00B24F1D"/>
    <w:rsid w:val="00B253D4"/>
    <w:rsid w:val="00B25D6C"/>
    <w:rsid w:val="00B30E23"/>
    <w:rsid w:val="00B30F3A"/>
    <w:rsid w:val="00B32146"/>
    <w:rsid w:val="00B33A6E"/>
    <w:rsid w:val="00B34400"/>
    <w:rsid w:val="00B346EB"/>
    <w:rsid w:val="00B34EF4"/>
    <w:rsid w:val="00B3636B"/>
    <w:rsid w:val="00B40DAA"/>
    <w:rsid w:val="00B41FAC"/>
    <w:rsid w:val="00B429BC"/>
    <w:rsid w:val="00B4318C"/>
    <w:rsid w:val="00B4346D"/>
    <w:rsid w:val="00B4414E"/>
    <w:rsid w:val="00B45C4C"/>
    <w:rsid w:val="00B51007"/>
    <w:rsid w:val="00B533B1"/>
    <w:rsid w:val="00B5422F"/>
    <w:rsid w:val="00B546F0"/>
    <w:rsid w:val="00B5479B"/>
    <w:rsid w:val="00B55642"/>
    <w:rsid w:val="00B56B25"/>
    <w:rsid w:val="00B60310"/>
    <w:rsid w:val="00B603AB"/>
    <w:rsid w:val="00B61E48"/>
    <w:rsid w:val="00B6295F"/>
    <w:rsid w:val="00B634FB"/>
    <w:rsid w:val="00B6372D"/>
    <w:rsid w:val="00B637FC"/>
    <w:rsid w:val="00B649C5"/>
    <w:rsid w:val="00B649CE"/>
    <w:rsid w:val="00B66B69"/>
    <w:rsid w:val="00B71394"/>
    <w:rsid w:val="00B714F9"/>
    <w:rsid w:val="00B72E49"/>
    <w:rsid w:val="00B73DB8"/>
    <w:rsid w:val="00B7441C"/>
    <w:rsid w:val="00B74CA1"/>
    <w:rsid w:val="00B75BF6"/>
    <w:rsid w:val="00B75CD4"/>
    <w:rsid w:val="00B7738E"/>
    <w:rsid w:val="00B80C09"/>
    <w:rsid w:val="00B80C0F"/>
    <w:rsid w:val="00B83C13"/>
    <w:rsid w:val="00B850B2"/>
    <w:rsid w:val="00B86574"/>
    <w:rsid w:val="00B903A0"/>
    <w:rsid w:val="00B90F3C"/>
    <w:rsid w:val="00B924C8"/>
    <w:rsid w:val="00B9276D"/>
    <w:rsid w:val="00B9286E"/>
    <w:rsid w:val="00B932D4"/>
    <w:rsid w:val="00B93EEF"/>
    <w:rsid w:val="00B94B99"/>
    <w:rsid w:val="00B94EBA"/>
    <w:rsid w:val="00B95F6B"/>
    <w:rsid w:val="00B96045"/>
    <w:rsid w:val="00B96431"/>
    <w:rsid w:val="00B9741C"/>
    <w:rsid w:val="00B9782E"/>
    <w:rsid w:val="00BA0BE9"/>
    <w:rsid w:val="00BA1350"/>
    <w:rsid w:val="00BA3C53"/>
    <w:rsid w:val="00BA78BA"/>
    <w:rsid w:val="00BA7C64"/>
    <w:rsid w:val="00BB0ABE"/>
    <w:rsid w:val="00BB0F54"/>
    <w:rsid w:val="00BB21D7"/>
    <w:rsid w:val="00BB2CD9"/>
    <w:rsid w:val="00BB3812"/>
    <w:rsid w:val="00BB60AC"/>
    <w:rsid w:val="00BB7384"/>
    <w:rsid w:val="00BB7FF3"/>
    <w:rsid w:val="00BC1EF4"/>
    <w:rsid w:val="00BC3727"/>
    <w:rsid w:val="00BC4238"/>
    <w:rsid w:val="00BC650A"/>
    <w:rsid w:val="00BC6B0F"/>
    <w:rsid w:val="00BD0D31"/>
    <w:rsid w:val="00BD1A89"/>
    <w:rsid w:val="00BD3BC5"/>
    <w:rsid w:val="00BD4BF3"/>
    <w:rsid w:val="00BD524C"/>
    <w:rsid w:val="00BD5E52"/>
    <w:rsid w:val="00BD62F3"/>
    <w:rsid w:val="00BD70E8"/>
    <w:rsid w:val="00BD75FF"/>
    <w:rsid w:val="00BD7A12"/>
    <w:rsid w:val="00BD7EE8"/>
    <w:rsid w:val="00BD7F31"/>
    <w:rsid w:val="00BE21A1"/>
    <w:rsid w:val="00BE23F3"/>
    <w:rsid w:val="00BE29F7"/>
    <w:rsid w:val="00BE357D"/>
    <w:rsid w:val="00BE3EBB"/>
    <w:rsid w:val="00BE4669"/>
    <w:rsid w:val="00BE534E"/>
    <w:rsid w:val="00BE678E"/>
    <w:rsid w:val="00BF0637"/>
    <w:rsid w:val="00BF0CCE"/>
    <w:rsid w:val="00BF3BE2"/>
    <w:rsid w:val="00BF494E"/>
    <w:rsid w:val="00BF4D5A"/>
    <w:rsid w:val="00BF5682"/>
    <w:rsid w:val="00BF59E3"/>
    <w:rsid w:val="00BF5AC8"/>
    <w:rsid w:val="00C00A84"/>
    <w:rsid w:val="00C02046"/>
    <w:rsid w:val="00C02EFE"/>
    <w:rsid w:val="00C0456B"/>
    <w:rsid w:val="00C05371"/>
    <w:rsid w:val="00C05FB8"/>
    <w:rsid w:val="00C07700"/>
    <w:rsid w:val="00C109F9"/>
    <w:rsid w:val="00C10BBD"/>
    <w:rsid w:val="00C123FC"/>
    <w:rsid w:val="00C1270E"/>
    <w:rsid w:val="00C128BF"/>
    <w:rsid w:val="00C12BFF"/>
    <w:rsid w:val="00C138B7"/>
    <w:rsid w:val="00C14302"/>
    <w:rsid w:val="00C144A9"/>
    <w:rsid w:val="00C165D8"/>
    <w:rsid w:val="00C17331"/>
    <w:rsid w:val="00C20729"/>
    <w:rsid w:val="00C21DA1"/>
    <w:rsid w:val="00C2327A"/>
    <w:rsid w:val="00C2476F"/>
    <w:rsid w:val="00C26E06"/>
    <w:rsid w:val="00C26E78"/>
    <w:rsid w:val="00C2759B"/>
    <w:rsid w:val="00C27D99"/>
    <w:rsid w:val="00C308A1"/>
    <w:rsid w:val="00C314E6"/>
    <w:rsid w:val="00C3215F"/>
    <w:rsid w:val="00C325D6"/>
    <w:rsid w:val="00C327D6"/>
    <w:rsid w:val="00C3391E"/>
    <w:rsid w:val="00C33C52"/>
    <w:rsid w:val="00C34B7B"/>
    <w:rsid w:val="00C355E1"/>
    <w:rsid w:val="00C35EF1"/>
    <w:rsid w:val="00C36882"/>
    <w:rsid w:val="00C36BFB"/>
    <w:rsid w:val="00C379BE"/>
    <w:rsid w:val="00C421AA"/>
    <w:rsid w:val="00C42205"/>
    <w:rsid w:val="00C42A5A"/>
    <w:rsid w:val="00C436B7"/>
    <w:rsid w:val="00C43E23"/>
    <w:rsid w:val="00C45104"/>
    <w:rsid w:val="00C456F3"/>
    <w:rsid w:val="00C47205"/>
    <w:rsid w:val="00C47B8F"/>
    <w:rsid w:val="00C47F6C"/>
    <w:rsid w:val="00C50E27"/>
    <w:rsid w:val="00C5258D"/>
    <w:rsid w:val="00C53723"/>
    <w:rsid w:val="00C545E7"/>
    <w:rsid w:val="00C54976"/>
    <w:rsid w:val="00C5549F"/>
    <w:rsid w:val="00C55AE4"/>
    <w:rsid w:val="00C55C16"/>
    <w:rsid w:val="00C55F34"/>
    <w:rsid w:val="00C56953"/>
    <w:rsid w:val="00C603EA"/>
    <w:rsid w:val="00C60663"/>
    <w:rsid w:val="00C6092F"/>
    <w:rsid w:val="00C62342"/>
    <w:rsid w:val="00C629A0"/>
    <w:rsid w:val="00C62F38"/>
    <w:rsid w:val="00C673F3"/>
    <w:rsid w:val="00C72413"/>
    <w:rsid w:val="00C72980"/>
    <w:rsid w:val="00C737B8"/>
    <w:rsid w:val="00C74A0D"/>
    <w:rsid w:val="00C75145"/>
    <w:rsid w:val="00C7707A"/>
    <w:rsid w:val="00C77D99"/>
    <w:rsid w:val="00C82F50"/>
    <w:rsid w:val="00C83149"/>
    <w:rsid w:val="00C83BD1"/>
    <w:rsid w:val="00C8444F"/>
    <w:rsid w:val="00C8480A"/>
    <w:rsid w:val="00C86131"/>
    <w:rsid w:val="00C86528"/>
    <w:rsid w:val="00C86B52"/>
    <w:rsid w:val="00C871E1"/>
    <w:rsid w:val="00C872DD"/>
    <w:rsid w:val="00C911B8"/>
    <w:rsid w:val="00C91DB2"/>
    <w:rsid w:val="00C923B8"/>
    <w:rsid w:val="00C945F5"/>
    <w:rsid w:val="00C94C6A"/>
    <w:rsid w:val="00C95B4B"/>
    <w:rsid w:val="00C97CB0"/>
    <w:rsid w:val="00C97EA3"/>
    <w:rsid w:val="00CA01E8"/>
    <w:rsid w:val="00CA03CE"/>
    <w:rsid w:val="00CA0794"/>
    <w:rsid w:val="00CA15E4"/>
    <w:rsid w:val="00CA4819"/>
    <w:rsid w:val="00CA51ED"/>
    <w:rsid w:val="00CA5E6F"/>
    <w:rsid w:val="00CA6DD6"/>
    <w:rsid w:val="00CA6E53"/>
    <w:rsid w:val="00CA7AC1"/>
    <w:rsid w:val="00CB09E9"/>
    <w:rsid w:val="00CB1DC5"/>
    <w:rsid w:val="00CB312F"/>
    <w:rsid w:val="00CB31FC"/>
    <w:rsid w:val="00CB3776"/>
    <w:rsid w:val="00CB37C0"/>
    <w:rsid w:val="00CB4432"/>
    <w:rsid w:val="00CB48CF"/>
    <w:rsid w:val="00CB68BE"/>
    <w:rsid w:val="00CB6EE5"/>
    <w:rsid w:val="00CB70A2"/>
    <w:rsid w:val="00CB714A"/>
    <w:rsid w:val="00CC0C63"/>
    <w:rsid w:val="00CC1D6A"/>
    <w:rsid w:val="00CC230D"/>
    <w:rsid w:val="00CC4F93"/>
    <w:rsid w:val="00CC68A1"/>
    <w:rsid w:val="00CC7CC9"/>
    <w:rsid w:val="00CD0186"/>
    <w:rsid w:val="00CD0938"/>
    <w:rsid w:val="00CD2964"/>
    <w:rsid w:val="00CD2D97"/>
    <w:rsid w:val="00CD3D18"/>
    <w:rsid w:val="00CD3E91"/>
    <w:rsid w:val="00CD4835"/>
    <w:rsid w:val="00CD585F"/>
    <w:rsid w:val="00CD6BAD"/>
    <w:rsid w:val="00CD75B8"/>
    <w:rsid w:val="00CD7F5D"/>
    <w:rsid w:val="00CE0EA8"/>
    <w:rsid w:val="00CE1485"/>
    <w:rsid w:val="00CE2113"/>
    <w:rsid w:val="00CE2AF8"/>
    <w:rsid w:val="00CE2C25"/>
    <w:rsid w:val="00CE307D"/>
    <w:rsid w:val="00CE3CE0"/>
    <w:rsid w:val="00CE4EEE"/>
    <w:rsid w:val="00CE6A0F"/>
    <w:rsid w:val="00CF1463"/>
    <w:rsid w:val="00CF225A"/>
    <w:rsid w:val="00CF41F5"/>
    <w:rsid w:val="00CF5D92"/>
    <w:rsid w:val="00CF6416"/>
    <w:rsid w:val="00CF7363"/>
    <w:rsid w:val="00CF78DF"/>
    <w:rsid w:val="00CF7BBE"/>
    <w:rsid w:val="00D01C3C"/>
    <w:rsid w:val="00D02AE9"/>
    <w:rsid w:val="00D050A9"/>
    <w:rsid w:val="00D05B06"/>
    <w:rsid w:val="00D07CA2"/>
    <w:rsid w:val="00D07ECB"/>
    <w:rsid w:val="00D100B0"/>
    <w:rsid w:val="00D10C6C"/>
    <w:rsid w:val="00D11BAF"/>
    <w:rsid w:val="00D12E21"/>
    <w:rsid w:val="00D1416A"/>
    <w:rsid w:val="00D165B9"/>
    <w:rsid w:val="00D17599"/>
    <w:rsid w:val="00D203D1"/>
    <w:rsid w:val="00D20B26"/>
    <w:rsid w:val="00D20B30"/>
    <w:rsid w:val="00D228ED"/>
    <w:rsid w:val="00D2322A"/>
    <w:rsid w:val="00D238AA"/>
    <w:rsid w:val="00D25654"/>
    <w:rsid w:val="00D26480"/>
    <w:rsid w:val="00D26842"/>
    <w:rsid w:val="00D27CB6"/>
    <w:rsid w:val="00D327EF"/>
    <w:rsid w:val="00D32857"/>
    <w:rsid w:val="00D3332A"/>
    <w:rsid w:val="00D33A2B"/>
    <w:rsid w:val="00D34647"/>
    <w:rsid w:val="00D36C62"/>
    <w:rsid w:val="00D41508"/>
    <w:rsid w:val="00D4219F"/>
    <w:rsid w:val="00D426B0"/>
    <w:rsid w:val="00D4272C"/>
    <w:rsid w:val="00D42A45"/>
    <w:rsid w:val="00D42CBF"/>
    <w:rsid w:val="00D44910"/>
    <w:rsid w:val="00D45365"/>
    <w:rsid w:val="00D455DF"/>
    <w:rsid w:val="00D458A2"/>
    <w:rsid w:val="00D45CEE"/>
    <w:rsid w:val="00D46107"/>
    <w:rsid w:val="00D50209"/>
    <w:rsid w:val="00D50E01"/>
    <w:rsid w:val="00D520E9"/>
    <w:rsid w:val="00D52A86"/>
    <w:rsid w:val="00D530F0"/>
    <w:rsid w:val="00D534CC"/>
    <w:rsid w:val="00D548F7"/>
    <w:rsid w:val="00D55A60"/>
    <w:rsid w:val="00D565CD"/>
    <w:rsid w:val="00D600F9"/>
    <w:rsid w:val="00D63C09"/>
    <w:rsid w:val="00D64E6A"/>
    <w:rsid w:val="00D66038"/>
    <w:rsid w:val="00D67CC7"/>
    <w:rsid w:val="00D70085"/>
    <w:rsid w:val="00D71197"/>
    <w:rsid w:val="00D72155"/>
    <w:rsid w:val="00D7293C"/>
    <w:rsid w:val="00D72947"/>
    <w:rsid w:val="00D729D1"/>
    <w:rsid w:val="00D752B0"/>
    <w:rsid w:val="00D7589E"/>
    <w:rsid w:val="00D7630D"/>
    <w:rsid w:val="00D77033"/>
    <w:rsid w:val="00D80A5B"/>
    <w:rsid w:val="00D80EA7"/>
    <w:rsid w:val="00D80F58"/>
    <w:rsid w:val="00D82138"/>
    <w:rsid w:val="00D823DF"/>
    <w:rsid w:val="00D826ED"/>
    <w:rsid w:val="00D82B0B"/>
    <w:rsid w:val="00D830F9"/>
    <w:rsid w:val="00D85419"/>
    <w:rsid w:val="00D874B9"/>
    <w:rsid w:val="00D91C1A"/>
    <w:rsid w:val="00D92C0C"/>
    <w:rsid w:val="00D9321F"/>
    <w:rsid w:val="00D93842"/>
    <w:rsid w:val="00D93991"/>
    <w:rsid w:val="00D953E4"/>
    <w:rsid w:val="00D96D52"/>
    <w:rsid w:val="00D9780E"/>
    <w:rsid w:val="00DA004B"/>
    <w:rsid w:val="00DA04E1"/>
    <w:rsid w:val="00DA2638"/>
    <w:rsid w:val="00DA38E9"/>
    <w:rsid w:val="00DA511C"/>
    <w:rsid w:val="00DA6876"/>
    <w:rsid w:val="00DA6A13"/>
    <w:rsid w:val="00DA781B"/>
    <w:rsid w:val="00DB03DF"/>
    <w:rsid w:val="00DB0CDF"/>
    <w:rsid w:val="00DB13A9"/>
    <w:rsid w:val="00DB3176"/>
    <w:rsid w:val="00DB38B3"/>
    <w:rsid w:val="00DB7044"/>
    <w:rsid w:val="00DB7817"/>
    <w:rsid w:val="00DB7F53"/>
    <w:rsid w:val="00DC01F2"/>
    <w:rsid w:val="00DC1507"/>
    <w:rsid w:val="00DC1959"/>
    <w:rsid w:val="00DC2126"/>
    <w:rsid w:val="00DC289A"/>
    <w:rsid w:val="00DC46CB"/>
    <w:rsid w:val="00DC4823"/>
    <w:rsid w:val="00DD3857"/>
    <w:rsid w:val="00DD5E44"/>
    <w:rsid w:val="00DD60F6"/>
    <w:rsid w:val="00DD63FC"/>
    <w:rsid w:val="00DD6BD9"/>
    <w:rsid w:val="00DD705C"/>
    <w:rsid w:val="00DE00BE"/>
    <w:rsid w:val="00DE0A47"/>
    <w:rsid w:val="00DE0D8A"/>
    <w:rsid w:val="00DE477E"/>
    <w:rsid w:val="00DE61F7"/>
    <w:rsid w:val="00DE690F"/>
    <w:rsid w:val="00DE730A"/>
    <w:rsid w:val="00DF1C69"/>
    <w:rsid w:val="00DF3C07"/>
    <w:rsid w:val="00DF425E"/>
    <w:rsid w:val="00DF47E8"/>
    <w:rsid w:val="00DF57F3"/>
    <w:rsid w:val="00DF60B1"/>
    <w:rsid w:val="00DF68A8"/>
    <w:rsid w:val="00E0320F"/>
    <w:rsid w:val="00E04072"/>
    <w:rsid w:val="00E04738"/>
    <w:rsid w:val="00E05540"/>
    <w:rsid w:val="00E05B05"/>
    <w:rsid w:val="00E05E8D"/>
    <w:rsid w:val="00E05F11"/>
    <w:rsid w:val="00E0693B"/>
    <w:rsid w:val="00E0757B"/>
    <w:rsid w:val="00E075D7"/>
    <w:rsid w:val="00E102D9"/>
    <w:rsid w:val="00E11283"/>
    <w:rsid w:val="00E116F0"/>
    <w:rsid w:val="00E12717"/>
    <w:rsid w:val="00E13903"/>
    <w:rsid w:val="00E15197"/>
    <w:rsid w:val="00E2009C"/>
    <w:rsid w:val="00E20B15"/>
    <w:rsid w:val="00E20F72"/>
    <w:rsid w:val="00E237F1"/>
    <w:rsid w:val="00E23FDB"/>
    <w:rsid w:val="00E274BC"/>
    <w:rsid w:val="00E30A11"/>
    <w:rsid w:val="00E33916"/>
    <w:rsid w:val="00E342FB"/>
    <w:rsid w:val="00E37194"/>
    <w:rsid w:val="00E378A4"/>
    <w:rsid w:val="00E410F0"/>
    <w:rsid w:val="00E4434D"/>
    <w:rsid w:val="00E457A5"/>
    <w:rsid w:val="00E45867"/>
    <w:rsid w:val="00E462BF"/>
    <w:rsid w:val="00E462F5"/>
    <w:rsid w:val="00E47223"/>
    <w:rsid w:val="00E5136E"/>
    <w:rsid w:val="00E516DC"/>
    <w:rsid w:val="00E523ED"/>
    <w:rsid w:val="00E53611"/>
    <w:rsid w:val="00E53EBA"/>
    <w:rsid w:val="00E5608A"/>
    <w:rsid w:val="00E57517"/>
    <w:rsid w:val="00E57A29"/>
    <w:rsid w:val="00E57AD0"/>
    <w:rsid w:val="00E60EEF"/>
    <w:rsid w:val="00E61849"/>
    <w:rsid w:val="00E6191C"/>
    <w:rsid w:val="00E62A5B"/>
    <w:rsid w:val="00E62F56"/>
    <w:rsid w:val="00E643F7"/>
    <w:rsid w:val="00E6492A"/>
    <w:rsid w:val="00E66790"/>
    <w:rsid w:val="00E67738"/>
    <w:rsid w:val="00E70627"/>
    <w:rsid w:val="00E70AE1"/>
    <w:rsid w:val="00E71E21"/>
    <w:rsid w:val="00E724FC"/>
    <w:rsid w:val="00E72F51"/>
    <w:rsid w:val="00E73EB4"/>
    <w:rsid w:val="00E7432E"/>
    <w:rsid w:val="00E75EA5"/>
    <w:rsid w:val="00E77C30"/>
    <w:rsid w:val="00E77C54"/>
    <w:rsid w:val="00E80C10"/>
    <w:rsid w:val="00E8224E"/>
    <w:rsid w:val="00E82256"/>
    <w:rsid w:val="00E8271D"/>
    <w:rsid w:val="00E84593"/>
    <w:rsid w:val="00E84911"/>
    <w:rsid w:val="00E84E58"/>
    <w:rsid w:val="00E868D3"/>
    <w:rsid w:val="00E879FC"/>
    <w:rsid w:val="00E87F4B"/>
    <w:rsid w:val="00E87F4C"/>
    <w:rsid w:val="00E87FC3"/>
    <w:rsid w:val="00E905F3"/>
    <w:rsid w:val="00E90DF4"/>
    <w:rsid w:val="00E914CB"/>
    <w:rsid w:val="00E92BCB"/>
    <w:rsid w:val="00E94008"/>
    <w:rsid w:val="00E945D5"/>
    <w:rsid w:val="00E948BA"/>
    <w:rsid w:val="00E94C9A"/>
    <w:rsid w:val="00E94D6F"/>
    <w:rsid w:val="00E94DC1"/>
    <w:rsid w:val="00E95243"/>
    <w:rsid w:val="00EA06F3"/>
    <w:rsid w:val="00EA08EF"/>
    <w:rsid w:val="00EA3A25"/>
    <w:rsid w:val="00EA5519"/>
    <w:rsid w:val="00EA5569"/>
    <w:rsid w:val="00EA6CA3"/>
    <w:rsid w:val="00EA736C"/>
    <w:rsid w:val="00EA750F"/>
    <w:rsid w:val="00EA7DE5"/>
    <w:rsid w:val="00EB22E7"/>
    <w:rsid w:val="00EB3980"/>
    <w:rsid w:val="00EB3F70"/>
    <w:rsid w:val="00EB63B8"/>
    <w:rsid w:val="00EB63FD"/>
    <w:rsid w:val="00EB6AEC"/>
    <w:rsid w:val="00EB6DDC"/>
    <w:rsid w:val="00EC00E2"/>
    <w:rsid w:val="00EC19B8"/>
    <w:rsid w:val="00EC1D56"/>
    <w:rsid w:val="00EC2BE4"/>
    <w:rsid w:val="00EC3685"/>
    <w:rsid w:val="00EC373B"/>
    <w:rsid w:val="00EC4E92"/>
    <w:rsid w:val="00EC757A"/>
    <w:rsid w:val="00EC7B7C"/>
    <w:rsid w:val="00EC7F56"/>
    <w:rsid w:val="00ED0569"/>
    <w:rsid w:val="00ED19A6"/>
    <w:rsid w:val="00ED1E50"/>
    <w:rsid w:val="00ED1E8F"/>
    <w:rsid w:val="00ED2A8C"/>
    <w:rsid w:val="00ED2C52"/>
    <w:rsid w:val="00ED2E9C"/>
    <w:rsid w:val="00ED38BE"/>
    <w:rsid w:val="00ED38D1"/>
    <w:rsid w:val="00ED5877"/>
    <w:rsid w:val="00ED5885"/>
    <w:rsid w:val="00ED5C99"/>
    <w:rsid w:val="00ED5DC1"/>
    <w:rsid w:val="00ED6E98"/>
    <w:rsid w:val="00ED6F1F"/>
    <w:rsid w:val="00EE0D16"/>
    <w:rsid w:val="00EE1512"/>
    <w:rsid w:val="00EE3616"/>
    <w:rsid w:val="00EE5657"/>
    <w:rsid w:val="00EE608D"/>
    <w:rsid w:val="00EE6EC7"/>
    <w:rsid w:val="00EF02DD"/>
    <w:rsid w:val="00EF08C1"/>
    <w:rsid w:val="00EF0DBB"/>
    <w:rsid w:val="00EF1498"/>
    <w:rsid w:val="00EF2003"/>
    <w:rsid w:val="00EF2628"/>
    <w:rsid w:val="00EF351E"/>
    <w:rsid w:val="00EF398F"/>
    <w:rsid w:val="00EF45D5"/>
    <w:rsid w:val="00EF7E58"/>
    <w:rsid w:val="00F014E3"/>
    <w:rsid w:val="00F014EC"/>
    <w:rsid w:val="00F01C60"/>
    <w:rsid w:val="00F020AC"/>
    <w:rsid w:val="00F0274A"/>
    <w:rsid w:val="00F02914"/>
    <w:rsid w:val="00F02CB0"/>
    <w:rsid w:val="00F03A95"/>
    <w:rsid w:val="00F0423D"/>
    <w:rsid w:val="00F05945"/>
    <w:rsid w:val="00F05EBB"/>
    <w:rsid w:val="00F06010"/>
    <w:rsid w:val="00F06957"/>
    <w:rsid w:val="00F07CE2"/>
    <w:rsid w:val="00F10310"/>
    <w:rsid w:val="00F10B4C"/>
    <w:rsid w:val="00F10F8A"/>
    <w:rsid w:val="00F1187A"/>
    <w:rsid w:val="00F121E1"/>
    <w:rsid w:val="00F12699"/>
    <w:rsid w:val="00F12D0C"/>
    <w:rsid w:val="00F12E0B"/>
    <w:rsid w:val="00F140F1"/>
    <w:rsid w:val="00F16769"/>
    <w:rsid w:val="00F173AC"/>
    <w:rsid w:val="00F22D32"/>
    <w:rsid w:val="00F23AC1"/>
    <w:rsid w:val="00F23F77"/>
    <w:rsid w:val="00F2456A"/>
    <w:rsid w:val="00F254AD"/>
    <w:rsid w:val="00F25726"/>
    <w:rsid w:val="00F262B5"/>
    <w:rsid w:val="00F264A6"/>
    <w:rsid w:val="00F2748F"/>
    <w:rsid w:val="00F31D79"/>
    <w:rsid w:val="00F333F1"/>
    <w:rsid w:val="00F3358F"/>
    <w:rsid w:val="00F33823"/>
    <w:rsid w:val="00F3471F"/>
    <w:rsid w:val="00F35837"/>
    <w:rsid w:val="00F368AC"/>
    <w:rsid w:val="00F37510"/>
    <w:rsid w:val="00F376D3"/>
    <w:rsid w:val="00F40A9B"/>
    <w:rsid w:val="00F412A3"/>
    <w:rsid w:val="00F41349"/>
    <w:rsid w:val="00F41A93"/>
    <w:rsid w:val="00F42167"/>
    <w:rsid w:val="00F43C83"/>
    <w:rsid w:val="00F44127"/>
    <w:rsid w:val="00F44151"/>
    <w:rsid w:val="00F46200"/>
    <w:rsid w:val="00F467B6"/>
    <w:rsid w:val="00F47CDB"/>
    <w:rsid w:val="00F51B5A"/>
    <w:rsid w:val="00F5251A"/>
    <w:rsid w:val="00F535D1"/>
    <w:rsid w:val="00F53C88"/>
    <w:rsid w:val="00F546E1"/>
    <w:rsid w:val="00F550F8"/>
    <w:rsid w:val="00F5596B"/>
    <w:rsid w:val="00F570A3"/>
    <w:rsid w:val="00F57C67"/>
    <w:rsid w:val="00F57FB3"/>
    <w:rsid w:val="00F60939"/>
    <w:rsid w:val="00F60EEB"/>
    <w:rsid w:val="00F61696"/>
    <w:rsid w:val="00F629D1"/>
    <w:rsid w:val="00F6365F"/>
    <w:rsid w:val="00F63809"/>
    <w:rsid w:val="00F64127"/>
    <w:rsid w:val="00F6435F"/>
    <w:rsid w:val="00F647E4"/>
    <w:rsid w:val="00F64E62"/>
    <w:rsid w:val="00F6534F"/>
    <w:rsid w:val="00F65BD1"/>
    <w:rsid w:val="00F66780"/>
    <w:rsid w:val="00F66DA3"/>
    <w:rsid w:val="00F66E3F"/>
    <w:rsid w:val="00F70AF9"/>
    <w:rsid w:val="00F70EC9"/>
    <w:rsid w:val="00F712AF"/>
    <w:rsid w:val="00F7155B"/>
    <w:rsid w:val="00F7281E"/>
    <w:rsid w:val="00F72B92"/>
    <w:rsid w:val="00F748DD"/>
    <w:rsid w:val="00F757D3"/>
    <w:rsid w:val="00F76A22"/>
    <w:rsid w:val="00F77B65"/>
    <w:rsid w:val="00F77BC4"/>
    <w:rsid w:val="00F803D5"/>
    <w:rsid w:val="00F80F1E"/>
    <w:rsid w:val="00F81A4C"/>
    <w:rsid w:val="00F840BC"/>
    <w:rsid w:val="00F8463D"/>
    <w:rsid w:val="00F86611"/>
    <w:rsid w:val="00F8675C"/>
    <w:rsid w:val="00F87C6F"/>
    <w:rsid w:val="00F87F66"/>
    <w:rsid w:val="00F902E0"/>
    <w:rsid w:val="00F90882"/>
    <w:rsid w:val="00F9134A"/>
    <w:rsid w:val="00F91BC3"/>
    <w:rsid w:val="00F9310E"/>
    <w:rsid w:val="00F962F0"/>
    <w:rsid w:val="00F9638D"/>
    <w:rsid w:val="00F97A0B"/>
    <w:rsid w:val="00F97D87"/>
    <w:rsid w:val="00FA076D"/>
    <w:rsid w:val="00FA0846"/>
    <w:rsid w:val="00FA2092"/>
    <w:rsid w:val="00FA4F29"/>
    <w:rsid w:val="00FA5188"/>
    <w:rsid w:val="00FA5E0F"/>
    <w:rsid w:val="00FA66F5"/>
    <w:rsid w:val="00FA7B7F"/>
    <w:rsid w:val="00FA7D8B"/>
    <w:rsid w:val="00FB2091"/>
    <w:rsid w:val="00FB2E3A"/>
    <w:rsid w:val="00FB3B63"/>
    <w:rsid w:val="00FB4CE2"/>
    <w:rsid w:val="00FB55DD"/>
    <w:rsid w:val="00FB57F6"/>
    <w:rsid w:val="00FB5BF2"/>
    <w:rsid w:val="00FB63D2"/>
    <w:rsid w:val="00FB63FC"/>
    <w:rsid w:val="00FB726C"/>
    <w:rsid w:val="00FC0E48"/>
    <w:rsid w:val="00FC1036"/>
    <w:rsid w:val="00FC26BF"/>
    <w:rsid w:val="00FC6EF2"/>
    <w:rsid w:val="00FC7FF8"/>
    <w:rsid w:val="00FD1BC4"/>
    <w:rsid w:val="00FD1E08"/>
    <w:rsid w:val="00FD2F7F"/>
    <w:rsid w:val="00FD40D4"/>
    <w:rsid w:val="00FD6066"/>
    <w:rsid w:val="00FD71DA"/>
    <w:rsid w:val="00FD7667"/>
    <w:rsid w:val="00FE1CC2"/>
    <w:rsid w:val="00FE26C7"/>
    <w:rsid w:val="00FE35B2"/>
    <w:rsid w:val="00FE3A9B"/>
    <w:rsid w:val="00FE4A10"/>
    <w:rsid w:val="00FE5F20"/>
    <w:rsid w:val="00FE73EB"/>
    <w:rsid w:val="00FF0360"/>
    <w:rsid w:val="00FF1257"/>
    <w:rsid w:val="00FF284F"/>
    <w:rsid w:val="00FF32CC"/>
    <w:rsid w:val="00FF367E"/>
    <w:rsid w:val="00FF392A"/>
    <w:rsid w:val="00FF396C"/>
    <w:rsid w:val="00FF53BD"/>
    <w:rsid w:val="00FF5403"/>
    <w:rsid w:val="00FF5513"/>
    <w:rsid w:val="00FF60D6"/>
    <w:rsid w:val="00FF7EF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uiPriority="9"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footnote text" w:uiPriority="99" w:qFormat="1"/>
    <w:lsdException w:name="header" w:uiPriority="99"/>
    <w:lsdException w:name="footer" w:uiPriority="99"/>
    <w:lsdException w:name="caption" w:uiPriority="35"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1E1"/>
    <w:rPr>
      <w:sz w:val="22"/>
      <w:lang w:val="en-GB" w:eastAsia="en-US"/>
    </w:rPr>
  </w:style>
  <w:style w:type="paragraph" w:styleId="Heading1">
    <w:name w:val="heading 1"/>
    <w:basedOn w:val="Normal"/>
    <w:next w:val="Normal"/>
    <w:link w:val="Heading1Char2"/>
    <w:qFormat/>
    <w:rsid w:val="006058C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41155"/>
    <w:pPr>
      <w:keepNext/>
      <w:keepLines/>
      <w:spacing w:before="200" w:line="276" w:lineRule="auto"/>
      <w:outlineLvl w:val="1"/>
    </w:pPr>
    <w:rPr>
      <w:rFonts w:ascii="Cambria" w:hAnsi="Cambria"/>
      <w:b/>
      <w:bCs/>
      <w:color w:val="4F81BD"/>
      <w:sz w:val="26"/>
      <w:szCs w:val="26"/>
      <w:lang w:val="en-US"/>
    </w:rPr>
  </w:style>
  <w:style w:type="paragraph" w:styleId="Heading3">
    <w:name w:val="heading 3"/>
    <w:basedOn w:val="Normal"/>
    <w:next w:val="Normal"/>
    <w:link w:val="Heading3Char"/>
    <w:uiPriority w:val="9"/>
    <w:qFormat/>
    <w:rsid w:val="00AE0A5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BB21D7"/>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585A35"/>
    <w:pPr>
      <w:keepNext/>
      <w:keepLines/>
      <w:spacing w:before="40" w:line="259" w:lineRule="auto"/>
      <w:outlineLvl w:val="5"/>
    </w:pPr>
    <w:rPr>
      <w:rFonts w:ascii="Calibri Light" w:hAnsi="Calibri Light"/>
      <w:color w:val="1F4D78"/>
      <w:szCs w:val="22"/>
      <w:lang w:val="hr-BA"/>
    </w:rPr>
  </w:style>
  <w:style w:type="paragraph" w:styleId="Heading8">
    <w:name w:val="heading 8"/>
    <w:basedOn w:val="Normal"/>
    <w:next w:val="Normal"/>
    <w:link w:val="Heading8Char1"/>
    <w:qFormat/>
    <w:rsid w:val="00071177"/>
    <w:pPr>
      <w:tabs>
        <w:tab w:val="num" w:pos="5760"/>
      </w:tabs>
      <w:suppressAutoHyphens/>
      <w:spacing w:before="240" w:after="60"/>
      <w:ind w:left="5760" w:hanging="360"/>
      <w:outlineLvl w:val="7"/>
    </w:pPr>
    <w:rPr>
      <w:rFonts w:ascii="Calibri" w:hAnsi="Calibri"/>
      <w:i/>
      <w:iCs/>
      <w:sz w:val="24"/>
      <w:szCs w:val="24"/>
      <w:lang w:val="hr-HR"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rsid w:val="008361A1"/>
    <w:rPr>
      <w:rFonts w:ascii="Arial" w:hAnsi="Arial" w:cs="Arial"/>
      <w:b/>
      <w:bCs/>
      <w:kern w:val="32"/>
      <w:sz w:val="32"/>
      <w:szCs w:val="32"/>
      <w:lang w:val="en-GB" w:eastAsia="en-US" w:bidi="ar-SA"/>
    </w:rPr>
  </w:style>
  <w:style w:type="character" w:customStyle="1" w:styleId="Heading2Char">
    <w:name w:val="Heading 2 Char"/>
    <w:link w:val="Heading2"/>
    <w:uiPriority w:val="9"/>
    <w:rsid w:val="00641155"/>
    <w:rPr>
      <w:rFonts w:ascii="Cambria" w:hAnsi="Cambria"/>
      <w:b/>
      <w:bCs/>
      <w:color w:val="4F81BD"/>
      <w:sz w:val="26"/>
      <w:szCs w:val="26"/>
      <w:lang w:val="en-US" w:eastAsia="en-US" w:bidi="ar-SA"/>
    </w:rPr>
  </w:style>
  <w:style w:type="character" w:customStyle="1" w:styleId="Heading3Char">
    <w:name w:val="Heading 3 Char"/>
    <w:link w:val="Heading3"/>
    <w:uiPriority w:val="9"/>
    <w:rsid w:val="00071177"/>
    <w:rPr>
      <w:rFonts w:ascii="Arial" w:hAnsi="Arial" w:cs="Arial"/>
      <w:b/>
      <w:bCs/>
      <w:sz w:val="26"/>
      <w:szCs w:val="26"/>
      <w:lang w:val="en-GB" w:eastAsia="en-US"/>
    </w:rPr>
  </w:style>
  <w:style w:type="character" w:customStyle="1" w:styleId="Heading4Char">
    <w:name w:val="Heading 4 Char"/>
    <w:link w:val="Heading4"/>
    <w:uiPriority w:val="9"/>
    <w:rsid w:val="00534F9E"/>
    <w:rPr>
      <w:b/>
      <w:bCs/>
      <w:sz w:val="28"/>
      <w:szCs w:val="28"/>
      <w:lang w:val="en-GB" w:eastAsia="en-US"/>
    </w:rPr>
  </w:style>
  <w:style w:type="character" w:customStyle="1" w:styleId="Heading6Char">
    <w:name w:val="Heading 6 Char"/>
    <w:link w:val="Heading6"/>
    <w:uiPriority w:val="9"/>
    <w:semiHidden/>
    <w:rsid w:val="00585A35"/>
    <w:rPr>
      <w:rFonts w:ascii="Calibri Light" w:hAnsi="Calibri Light"/>
      <w:color w:val="1F4D78"/>
      <w:sz w:val="22"/>
      <w:szCs w:val="22"/>
      <w:lang w:val="hr-BA" w:eastAsia="en-US"/>
    </w:rPr>
  </w:style>
  <w:style w:type="character" w:customStyle="1" w:styleId="Heading8Char1">
    <w:name w:val="Heading 8 Char1"/>
    <w:link w:val="Heading8"/>
    <w:rsid w:val="00071177"/>
    <w:rPr>
      <w:rFonts w:ascii="Calibri" w:hAnsi="Calibri"/>
      <w:i/>
      <w:iCs/>
      <w:sz w:val="24"/>
      <w:szCs w:val="24"/>
      <w:lang w:val="hr-HR" w:eastAsia="ar-SA"/>
    </w:rPr>
  </w:style>
  <w:style w:type="paragraph" w:styleId="Footer">
    <w:name w:val="footer"/>
    <w:basedOn w:val="Normal"/>
    <w:link w:val="FooterChar"/>
    <w:uiPriority w:val="99"/>
    <w:rsid w:val="00846F4E"/>
    <w:pPr>
      <w:tabs>
        <w:tab w:val="center" w:pos="4320"/>
        <w:tab w:val="right" w:pos="8640"/>
      </w:tabs>
    </w:pPr>
    <w:rPr>
      <w:sz w:val="21"/>
    </w:rPr>
  </w:style>
  <w:style w:type="character" w:customStyle="1" w:styleId="FooterChar">
    <w:name w:val="Footer Char"/>
    <w:link w:val="Footer"/>
    <w:uiPriority w:val="99"/>
    <w:rsid w:val="00071177"/>
    <w:rPr>
      <w:sz w:val="21"/>
      <w:lang w:val="en-GB" w:eastAsia="en-US"/>
    </w:rPr>
  </w:style>
  <w:style w:type="character" w:styleId="PageNumber">
    <w:name w:val="page number"/>
    <w:basedOn w:val="DefaultParagraphFont"/>
    <w:rsid w:val="00846F4E"/>
  </w:style>
  <w:style w:type="paragraph" w:styleId="ListParagraph">
    <w:name w:val="List Paragraph"/>
    <w:aliases w:val="References,Bullets,List Paragraph (numbered (a)),List_Paragraph,Multilevel para_II,Akapit z listą BS,Bullet1,Heading 21,Numbered List Paragraph,Numbered Paragraph,Main numbered paragraph,Colorful List - Accent 11,Liste 1"/>
    <w:basedOn w:val="Normal"/>
    <w:link w:val="ListParagraphChar"/>
    <w:uiPriority w:val="34"/>
    <w:qFormat/>
    <w:rsid w:val="009D23DF"/>
    <w:pPr>
      <w:spacing w:after="200" w:line="276" w:lineRule="auto"/>
      <w:ind w:left="720"/>
      <w:contextualSpacing/>
    </w:pPr>
    <w:rPr>
      <w:rFonts w:ascii="Calibri" w:eastAsia="Calibri" w:hAnsi="Calibri"/>
      <w:szCs w:val="22"/>
      <w:lang w:val="en-US"/>
    </w:rPr>
  </w:style>
  <w:style w:type="character" w:customStyle="1" w:styleId="ListParagraphChar">
    <w:name w:val="List Paragraph Char"/>
    <w:aliases w:val="References Char,Bullets Char,List Paragraph (numbered (a)) Char,List_Paragraph Char,Multilevel para_II Char,Akapit z listą BS Char,Bullet1 Char,Heading 21 Char,Numbered List Paragraph Char,Numbered Paragraph Char,List Paragraph1 Char"/>
    <w:link w:val="ListParagraph"/>
    <w:uiPriority w:val="34"/>
    <w:rsid w:val="00DF425E"/>
    <w:rPr>
      <w:rFonts w:ascii="Calibri" w:eastAsia="Calibri" w:hAnsi="Calibri"/>
      <w:sz w:val="22"/>
      <w:szCs w:val="22"/>
      <w:lang w:val="en-US" w:eastAsia="en-US"/>
    </w:rPr>
  </w:style>
  <w:style w:type="paragraph" w:styleId="FootnoteText">
    <w:name w:val="footnote text"/>
    <w:aliases w:val=" Char,Footnote Text Char1,Footnote Text Blue,Footnote Text1,Char,Footnote Text Char Char, Char Char Char, Char1 Char, Char1 Char Char,Podrozdział,fn,FOOTNOTES,single space,ADB,ft,Tegn1,Tegn1 Char,Char Char Char,Fußnote,footnote text, Ch,f"/>
    <w:basedOn w:val="Normal"/>
    <w:link w:val="FootnoteTextChar"/>
    <w:uiPriority w:val="99"/>
    <w:unhideWhenUsed/>
    <w:qFormat/>
    <w:rsid w:val="00934CF3"/>
    <w:rPr>
      <w:rFonts w:ascii="Calibri" w:eastAsia="Calibri" w:hAnsi="Calibri"/>
      <w:sz w:val="20"/>
      <w:lang w:val="en-US"/>
    </w:rPr>
  </w:style>
  <w:style w:type="character" w:customStyle="1" w:styleId="FootnoteTextChar">
    <w:name w:val="Footnote Text Char"/>
    <w:aliases w:val=" Char Char,Footnote Text Char1 Char,Footnote Text Blue Char,Footnote Text1 Char,Char Char,Footnote Text Char Char Char, Char Char Char Char, Char1 Char Char1, Char1 Char Char Char,Podrozdział Char,fn Char,FOOTNOTES Char,ADB Char"/>
    <w:link w:val="FootnoteText"/>
    <w:uiPriority w:val="99"/>
    <w:rsid w:val="00934CF3"/>
    <w:rPr>
      <w:rFonts w:ascii="Calibri" w:eastAsia="Calibri" w:hAnsi="Calibri"/>
      <w:lang w:val="en-US" w:eastAsia="en-US" w:bidi="ar-SA"/>
    </w:rPr>
  </w:style>
  <w:style w:type="character" w:styleId="FootnoteReference">
    <w:name w:val="footnote reference"/>
    <w:aliases w:val="ftref,Footnote Reference Superscript,BVI fnr,Footnote Reference Number,Footnote Reference_LVL6,Footnote Reference_LVL61,Footnote Reference_LVL62,Footnote Reference_LVL63,Footnote Reference_LVL64,16 Point,Superscript 6 Point,fr"/>
    <w:link w:val="BVIfnrZchnCharZchnCharCharCharChar"/>
    <w:uiPriority w:val="99"/>
    <w:unhideWhenUsed/>
    <w:qFormat/>
    <w:rsid w:val="00934CF3"/>
    <w:rPr>
      <w:vertAlign w:val="superscript"/>
    </w:rPr>
  </w:style>
  <w:style w:type="paragraph" w:customStyle="1" w:styleId="BVIfnrZchnCharZchnCharCharCharChar">
    <w:name w:val="BVI fnr Zchn Char Zchn Char Char Char Char"/>
    <w:aliases w:val="BVI fnr Car Car Zchn Char Zchn Char Char Char Char,BVI fnr Car Zchn Char Zchn Char Char Char Char"/>
    <w:basedOn w:val="Normal"/>
    <w:link w:val="FootnoteReference"/>
    <w:uiPriority w:val="99"/>
    <w:rsid w:val="00987500"/>
    <w:pPr>
      <w:spacing w:after="160" w:line="240" w:lineRule="exact"/>
    </w:pPr>
    <w:rPr>
      <w:sz w:val="20"/>
      <w:vertAlign w:val="superscript"/>
      <w:lang w:val="hr-HR" w:eastAsia="hr-HR"/>
    </w:rPr>
  </w:style>
  <w:style w:type="paragraph" w:styleId="BodyText2">
    <w:name w:val="Body Text 2"/>
    <w:basedOn w:val="Normal"/>
    <w:link w:val="BodyText2Char"/>
    <w:rsid w:val="00CD0938"/>
    <w:pPr>
      <w:jc w:val="both"/>
    </w:pPr>
    <w:rPr>
      <w:bCs/>
      <w:sz w:val="24"/>
      <w:szCs w:val="32"/>
      <w:lang w:val="hr-HR"/>
    </w:rPr>
  </w:style>
  <w:style w:type="character" w:customStyle="1" w:styleId="BodyText2Char">
    <w:name w:val="Body Text 2 Char"/>
    <w:link w:val="BodyText2"/>
    <w:rsid w:val="00CD0938"/>
    <w:rPr>
      <w:bCs/>
      <w:sz w:val="24"/>
      <w:szCs w:val="32"/>
      <w:lang w:val="hr-HR" w:eastAsia="en-US" w:bidi="ar-SA"/>
    </w:rPr>
  </w:style>
  <w:style w:type="paragraph" w:styleId="TOC1">
    <w:name w:val="toc 1"/>
    <w:basedOn w:val="Normal"/>
    <w:next w:val="Normal"/>
    <w:autoRedefine/>
    <w:uiPriority w:val="39"/>
    <w:qFormat/>
    <w:rsid w:val="00476943"/>
    <w:pPr>
      <w:tabs>
        <w:tab w:val="right" w:leader="dot" w:pos="9231"/>
      </w:tabs>
      <w:ind w:hanging="26"/>
    </w:pPr>
    <w:rPr>
      <w:b/>
      <w:noProof/>
      <w:sz w:val="24"/>
      <w:szCs w:val="24"/>
      <w:lang w:val="hr-BA"/>
    </w:rPr>
  </w:style>
  <w:style w:type="paragraph" w:styleId="TOC2">
    <w:name w:val="toc 2"/>
    <w:basedOn w:val="Normal"/>
    <w:next w:val="Normal"/>
    <w:autoRedefine/>
    <w:uiPriority w:val="39"/>
    <w:rsid w:val="005C0CD1"/>
    <w:pPr>
      <w:tabs>
        <w:tab w:val="left" w:pos="960"/>
        <w:tab w:val="right" w:leader="dot" w:pos="9231"/>
      </w:tabs>
      <w:ind w:left="754" w:hanging="754"/>
      <w:jc w:val="both"/>
    </w:pPr>
    <w:rPr>
      <w:rFonts w:ascii="Cambria" w:hAnsi="Cambria"/>
      <w:bCs/>
      <w:noProof/>
      <w:sz w:val="16"/>
      <w:szCs w:val="16"/>
    </w:rPr>
  </w:style>
  <w:style w:type="character" w:styleId="Hyperlink">
    <w:name w:val="Hyperlink"/>
    <w:uiPriority w:val="99"/>
    <w:rsid w:val="00295186"/>
    <w:rPr>
      <w:color w:val="0000FF"/>
      <w:u w:val="single"/>
    </w:rPr>
  </w:style>
  <w:style w:type="paragraph" w:customStyle="1" w:styleId="BulletAB1">
    <w:name w:val="Bullet AB1"/>
    <w:basedOn w:val="Normal"/>
    <w:rsid w:val="00AE0A59"/>
    <w:pPr>
      <w:numPr>
        <w:numId w:val="2"/>
      </w:numPr>
      <w:tabs>
        <w:tab w:val="clear" w:pos="1080"/>
        <w:tab w:val="left" w:pos="1008"/>
      </w:tabs>
      <w:spacing w:after="60"/>
      <w:jc w:val="both"/>
    </w:pPr>
    <w:rPr>
      <w:sz w:val="21"/>
    </w:rPr>
  </w:style>
  <w:style w:type="character" w:customStyle="1" w:styleId="Heading1Char">
    <w:name w:val="Heading 1 Char"/>
    <w:uiPriority w:val="9"/>
    <w:rsid w:val="0009017D"/>
    <w:rPr>
      <w:b/>
      <w:kern w:val="28"/>
      <w:sz w:val="22"/>
      <w:lang w:val="en-GB" w:eastAsia="en-US" w:bidi="ar-SA"/>
    </w:rPr>
  </w:style>
  <w:style w:type="table" w:styleId="TableGrid">
    <w:name w:val="Table Grid"/>
    <w:basedOn w:val="TableNormal"/>
    <w:uiPriority w:val="39"/>
    <w:rsid w:val="004710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rsid w:val="0026430A"/>
    <w:pPr>
      <w:ind w:left="440"/>
    </w:pPr>
  </w:style>
  <w:style w:type="paragraph" w:styleId="Header">
    <w:name w:val="header"/>
    <w:basedOn w:val="Normal"/>
    <w:link w:val="HeaderChar"/>
    <w:uiPriority w:val="99"/>
    <w:rsid w:val="00B924C8"/>
    <w:pPr>
      <w:tabs>
        <w:tab w:val="center" w:pos="4536"/>
        <w:tab w:val="right" w:pos="9072"/>
      </w:tabs>
    </w:pPr>
  </w:style>
  <w:style w:type="character" w:customStyle="1" w:styleId="HeaderChar">
    <w:name w:val="Header Char"/>
    <w:link w:val="Header"/>
    <w:uiPriority w:val="99"/>
    <w:rsid w:val="00FC7FF8"/>
    <w:rPr>
      <w:sz w:val="22"/>
      <w:lang w:val="en-GB" w:eastAsia="en-US"/>
    </w:rPr>
  </w:style>
  <w:style w:type="paragraph" w:styleId="TOC4">
    <w:name w:val="toc 4"/>
    <w:basedOn w:val="Normal"/>
    <w:next w:val="Normal"/>
    <w:autoRedefine/>
    <w:uiPriority w:val="39"/>
    <w:rsid w:val="00357764"/>
    <w:pPr>
      <w:ind w:left="660"/>
    </w:pPr>
  </w:style>
  <w:style w:type="paragraph" w:styleId="EndnoteText">
    <w:name w:val="endnote text"/>
    <w:basedOn w:val="Normal"/>
    <w:link w:val="EndnoteTextChar"/>
    <w:rsid w:val="00197A96"/>
    <w:rPr>
      <w:sz w:val="20"/>
    </w:rPr>
  </w:style>
  <w:style w:type="character" w:customStyle="1" w:styleId="EndnoteTextChar">
    <w:name w:val="Endnote Text Char"/>
    <w:link w:val="EndnoteText"/>
    <w:rsid w:val="00197A96"/>
    <w:rPr>
      <w:lang w:val="en-GB" w:eastAsia="en-US"/>
    </w:rPr>
  </w:style>
  <w:style w:type="character" w:styleId="EndnoteReference">
    <w:name w:val="endnote reference"/>
    <w:rsid w:val="00197A96"/>
    <w:rPr>
      <w:vertAlign w:val="superscript"/>
    </w:rPr>
  </w:style>
  <w:style w:type="paragraph" w:styleId="Caption">
    <w:name w:val="caption"/>
    <w:basedOn w:val="Normal"/>
    <w:uiPriority w:val="35"/>
    <w:qFormat/>
    <w:rsid w:val="00C95B4B"/>
    <w:pPr>
      <w:suppressLineNumbers/>
      <w:suppressAutoHyphens/>
      <w:spacing w:before="120" w:after="120" w:line="276" w:lineRule="auto"/>
    </w:pPr>
    <w:rPr>
      <w:rFonts w:ascii="Calibri" w:hAnsi="Calibri" w:cs="Tahoma"/>
      <w:i/>
      <w:iCs/>
      <w:sz w:val="24"/>
      <w:szCs w:val="24"/>
      <w:lang w:val="hr-BA" w:eastAsia="ar-SA"/>
    </w:rPr>
  </w:style>
  <w:style w:type="paragraph" w:customStyle="1" w:styleId="CharChar1CharCharCharCharChar">
    <w:name w:val="Char Char1 Char Char Char Char Char"/>
    <w:basedOn w:val="Normal"/>
    <w:rsid w:val="008D7F83"/>
    <w:pPr>
      <w:spacing w:after="160" w:line="240" w:lineRule="exact"/>
    </w:pPr>
    <w:rPr>
      <w:rFonts w:ascii="Verdana" w:hAnsi="Verdana"/>
      <w:sz w:val="20"/>
      <w:lang w:val="en-US"/>
    </w:rPr>
  </w:style>
  <w:style w:type="paragraph" w:customStyle="1" w:styleId="Heading2-BFP">
    <w:name w:val="Heading 2 - BFP"/>
    <w:basedOn w:val="Heading2"/>
    <w:link w:val="Heading2-BFPChar"/>
    <w:rsid w:val="00F121E1"/>
    <w:pPr>
      <w:keepNext w:val="0"/>
      <w:keepLines w:val="0"/>
      <w:spacing w:before="120" w:after="60" w:line="240" w:lineRule="auto"/>
      <w:jc w:val="both"/>
    </w:pPr>
    <w:rPr>
      <w:rFonts w:ascii="Arial" w:hAnsi="Arial" w:cs="Arial"/>
      <w:color w:val="auto"/>
      <w:sz w:val="22"/>
      <w:szCs w:val="22"/>
      <w:lang w:val="hr-HR"/>
    </w:rPr>
  </w:style>
  <w:style w:type="character" w:customStyle="1" w:styleId="Heading2-BFPChar">
    <w:name w:val="Heading 2 - BFP Char"/>
    <w:link w:val="Heading2-BFP"/>
    <w:rsid w:val="00F121E1"/>
    <w:rPr>
      <w:rFonts w:ascii="Arial" w:hAnsi="Arial" w:cs="Arial"/>
      <w:b/>
      <w:bCs/>
      <w:sz w:val="22"/>
      <w:szCs w:val="22"/>
      <w:lang w:val="hr-HR" w:eastAsia="en-US"/>
    </w:rPr>
  </w:style>
  <w:style w:type="paragraph" w:styleId="TOCHeading">
    <w:name w:val="TOC Heading"/>
    <w:basedOn w:val="Heading1"/>
    <w:next w:val="Normal"/>
    <w:uiPriority w:val="39"/>
    <w:unhideWhenUsed/>
    <w:qFormat/>
    <w:rsid w:val="00387C46"/>
    <w:pPr>
      <w:keepLines/>
      <w:spacing w:before="480" w:after="0" w:line="276" w:lineRule="auto"/>
      <w:outlineLvl w:val="9"/>
    </w:pPr>
    <w:rPr>
      <w:rFonts w:ascii="Cambria" w:hAnsi="Cambria" w:cs="Times New Roman"/>
      <w:color w:val="365F91"/>
      <w:kern w:val="0"/>
      <w:sz w:val="28"/>
      <w:szCs w:val="28"/>
      <w:lang w:val="bs-Latn-BA"/>
    </w:rPr>
  </w:style>
  <w:style w:type="paragraph" w:styleId="NormalWeb">
    <w:name w:val="Normal (Web)"/>
    <w:basedOn w:val="Normal"/>
    <w:uiPriority w:val="99"/>
    <w:unhideWhenUsed/>
    <w:rsid w:val="00A76FAD"/>
    <w:pPr>
      <w:spacing w:before="100" w:beforeAutospacing="1" w:after="100" w:afterAutospacing="1"/>
    </w:pPr>
    <w:rPr>
      <w:sz w:val="24"/>
      <w:szCs w:val="24"/>
      <w:lang w:val="bs-Latn-BA" w:eastAsia="bs-Latn-BA"/>
    </w:rPr>
  </w:style>
  <w:style w:type="paragraph" w:customStyle="1" w:styleId="Default">
    <w:name w:val="Default"/>
    <w:rsid w:val="00CA5E6F"/>
    <w:pPr>
      <w:autoSpaceDE w:val="0"/>
      <w:autoSpaceDN w:val="0"/>
      <w:adjustRightInd w:val="0"/>
    </w:pPr>
    <w:rPr>
      <w:rFonts w:ascii="Arial" w:hAnsi="Arial" w:cs="Arial"/>
      <w:color w:val="000000"/>
      <w:sz w:val="24"/>
      <w:szCs w:val="24"/>
      <w:lang w:val="bs-Latn-BA" w:eastAsia="bs-Latn-BA"/>
    </w:rPr>
  </w:style>
  <w:style w:type="paragraph" w:styleId="BodyTextIndent2">
    <w:name w:val="Body Text Indent 2"/>
    <w:basedOn w:val="Normal"/>
    <w:link w:val="BodyTextIndent2Char"/>
    <w:rsid w:val="00CA5E6F"/>
    <w:pPr>
      <w:spacing w:after="120" w:line="480" w:lineRule="auto"/>
      <w:ind w:left="283"/>
    </w:pPr>
  </w:style>
  <w:style w:type="character" w:customStyle="1" w:styleId="BodyTextIndent2Char">
    <w:name w:val="Body Text Indent 2 Char"/>
    <w:link w:val="BodyTextIndent2"/>
    <w:rsid w:val="00CA5E6F"/>
    <w:rPr>
      <w:sz w:val="22"/>
      <w:lang w:val="en-GB" w:eastAsia="en-US"/>
    </w:rPr>
  </w:style>
  <w:style w:type="paragraph" w:styleId="NoSpacing">
    <w:name w:val="No Spacing"/>
    <w:link w:val="NoSpacingChar"/>
    <w:uiPriority w:val="1"/>
    <w:qFormat/>
    <w:rsid w:val="00F97D87"/>
    <w:rPr>
      <w:rFonts w:ascii="Calibri" w:hAnsi="Calibri"/>
      <w:sz w:val="22"/>
      <w:szCs w:val="22"/>
      <w:lang w:val="bs-Latn-BA" w:eastAsia="en-US"/>
    </w:rPr>
  </w:style>
  <w:style w:type="character" w:customStyle="1" w:styleId="NoSpacingChar">
    <w:name w:val="No Spacing Char"/>
    <w:link w:val="NoSpacing"/>
    <w:uiPriority w:val="1"/>
    <w:rsid w:val="00F97D87"/>
    <w:rPr>
      <w:rFonts w:ascii="Calibri" w:eastAsia="Times New Roman" w:hAnsi="Calibri" w:cs="Times New Roman"/>
      <w:sz w:val="22"/>
      <w:szCs w:val="22"/>
      <w:lang w:eastAsia="en-US"/>
    </w:rPr>
  </w:style>
  <w:style w:type="character" w:customStyle="1" w:styleId="WW8Num4z0">
    <w:name w:val="WW8Num4z0"/>
    <w:rsid w:val="00071177"/>
    <w:rPr>
      <w:rFonts w:ascii="Symbol" w:hAnsi="Symbol"/>
    </w:rPr>
  </w:style>
  <w:style w:type="character" w:customStyle="1" w:styleId="Absatz-Standardschriftart">
    <w:name w:val="Absatz-Standardschriftart"/>
    <w:rsid w:val="00071177"/>
  </w:style>
  <w:style w:type="character" w:customStyle="1" w:styleId="WW-Absatz-Standardschriftart">
    <w:name w:val="WW-Absatz-Standardschriftart"/>
    <w:rsid w:val="00071177"/>
  </w:style>
  <w:style w:type="character" w:customStyle="1" w:styleId="WW-Absatz-Standardschriftart1">
    <w:name w:val="WW-Absatz-Standardschriftart1"/>
    <w:rsid w:val="00071177"/>
  </w:style>
  <w:style w:type="character" w:customStyle="1" w:styleId="WW-Absatz-Standardschriftart11">
    <w:name w:val="WW-Absatz-Standardschriftart11"/>
    <w:rsid w:val="00071177"/>
  </w:style>
  <w:style w:type="character" w:customStyle="1" w:styleId="WW-Absatz-Standardschriftart111">
    <w:name w:val="WW-Absatz-Standardschriftart111"/>
    <w:rsid w:val="00071177"/>
  </w:style>
  <w:style w:type="character" w:customStyle="1" w:styleId="WW-Absatz-Standardschriftart1111">
    <w:name w:val="WW-Absatz-Standardschriftart1111"/>
    <w:rsid w:val="00071177"/>
  </w:style>
  <w:style w:type="character" w:customStyle="1" w:styleId="WW-Absatz-Standardschriftart11111">
    <w:name w:val="WW-Absatz-Standardschriftart11111"/>
    <w:rsid w:val="00071177"/>
  </w:style>
  <w:style w:type="character" w:customStyle="1" w:styleId="WW-Absatz-Standardschriftart111111">
    <w:name w:val="WW-Absatz-Standardschriftart111111"/>
    <w:rsid w:val="00071177"/>
  </w:style>
  <w:style w:type="character" w:customStyle="1" w:styleId="WW-Absatz-Standardschriftart1111111">
    <w:name w:val="WW-Absatz-Standardschriftart1111111"/>
    <w:rsid w:val="00071177"/>
  </w:style>
  <w:style w:type="character" w:customStyle="1" w:styleId="WW8Num4z1">
    <w:name w:val="WW8Num4z1"/>
    <w:rsid w:val="00071177"/>
    <w:rPr>
      <w:rFonts w:ascii="Courier New" w:hAnsi="Courier New" w:cs="Courier New"/>
    </w:rPr>
  </w:style>
  <w:style w:type="character" w:customStyle="1" w:styleId="WW8Num4z2">
    <w:name w:val="WW8Num4z2"/>
    <w:rsid w:val="00071177"/>
    <w:rPr>
      <w:rFonts w:ascii="Wingdings" w:hAnsi="Wingdings"/>
    </w:rPr>
  </w:style>
  <w:style w:type="character" w:customStyle="1" w:styleId="WW8Num11z0">
    <w:name w:val="WW8Num11z0"/>
    <w:rsid w:val="00071177"/>
    <w:rPr>
      <w:rFonts w:ascii="Symbol" w:hAnsi="Symbol"/>
    </w:rPr>
  </w:style>
  <w:style w:type="character" w:customStyle="1" w:styleId="WW8Num11z1">
    <w:name w:val="WW8Num11z1"/>
    <w:rsid w:val="00071177"/>
    <w:rPr>
      <w:rFonts w:ascii="Courier New" w:hAnsi="Courier New" w:cs="Courier New"/>
    </w:rPr>
  </w:style>
  <w:style w:type="character" w:customStyle="1" w:styleId="WW8Num11z2">
    <w:name w:val="WW8Num11z2"/>
    <w:rsid w:val="00071177"/>
    <w:rPr>
      <w:rFonts w:ascii="Wingdings" w:hAnsi="Wingdings"/>
    </w:rPr>
  </w:style>
  <w:style w:type="character" w:customStyle="1" w:styleId="WW8Num23z0">
    <w:name w:val="WW8Num23z0"/>
    <w:rsid w:val="00071177"/>
    <w:rPr>
      <w:rFonts w:ascii="Symbol" w:hAnsi="Symbol"/>
    </w:rPr>
  </w:style>
  <w:style w:type="character" w:customStyle="1" w:styleId="WW8Num23z1">
    <w:name w:val="WW8Num23z1"/>
    <w:rsid w:val="00071177"/>
    <w:rPr>
      <w:rFonts w:ascii="Courier New" w:hAnsi="Courier New" w:cs="Courier New"/>
    </w:rPr>
  </w:style>
  <w:style w:type="character" w:customStyle="1" w:styleId="WW8Num23z2">
    <w:name w:val="WW8Num23z2"/>
    <w:rsid w:val="00071177"/>
    <w:rPr>
      <w:rFonts w:ascii="Wingdings" w:hAnsi="Wingdings"/>
    </w:rPr>
  </w:style>
  <w:style w:type="character" w:customStyle="1" w:styleId="WW8Num29z0">
    <w:name w:val="WW8Num29z0"/>
    <w:rsid w:val="00071177"/>
    <w:rPr>
      <w:rFonts w:ascii="Symbol" w:hAnsi="Symbol"/>
    </w:rPr>
  </w:style>
  <w:style w:type="character" w:customStyle="1" w:styleId="WW8Num29z1">
    <w:name w:val="WW8Num29z1"/>
    <w:rsid w:val="00071177"/>
    <w:rPr>
      <w:rFonts w:ascii="Courier New" w:hAnsi="Courier New"/>
    </w:rPr>
  </w:style>
  <w:style w:type="character" w:customStyle="1" w:styleId="WW8Num29z2">
    <w:name w:val="WW8Num29z2"/>
    <w:rsid w:val="00071177"/>
    <w:rPr>
      <w:rFonts w:ascii="Wingdings" w:hAnsi="Wingdings"/>
    </w:rPr>
  </w:style>
  <w:style w:type="character" w:customStyle="1" w:styleId="Heading8Char">
    <w:name w:val="Heading 8 Char"/>
    <w:rsid w:val="00071177"/>
    <w:rPr>
      <w:rFonts w:ascii="Calibri" w:eastAsia="Times New Roman" w:hAnsi="Calibri" w:cs="Times New Roman"/>
      <w:i/>
      <w:iCs/>
      <w:sz w:val="24"/>
      <w:szCs w:val="24"/>
      <w:lang w:val="hr-HR"/>
    </w:rPr>
  </w:style>
  <w:style w:type="character" w:customStyle="1" w:styleId="Znakovipodnoja">
    <w:name w:val="Znakovi podnožja"/>
    <w:rsid w:val="00071177"/>
  </w:style>
  <w:style w:type="character" w:customStyle="1" w:styleId="Znakovikrajnjezabiljeke">
    <w:name w:val="Znakovi krajnje zabilješke"/>
    <w:rsid w:val="00071177"/>
  </w:style>
  <w:style w:type="character" w:styleId="FollowedHyperlink">
    <w:name w:val="FollowedHyperlink"/>
    <w:uiPriority w:val="99"/>
    <w:rsid w:val="00071177"/>
    <w:rPr>
      <w:color w:val="800000"/>
      <w:u w:val="single"/>
    </w:rPr>
  </w:style>
  <w:style w:type="character" w:customStyle="1" w:styleId="Grafikeoznake">
    <w:name w:val="Grafičke oznake"/>
    <w:rsid w:val="00071177"/>
    <w:rPr>
      <w:rFonts w:ascii="OpenSymbol" w:eastAsia="OpenSymbol" w:hAnsi="OpenSymbol" w:cs="OpenSymbol"/>
    </w:rPr>
  </w:style>
  <w:style w:type="character" w:customStyle="1" w:styleId="Simbolinumeriranja">
    <w:name w:val="Simboli numeriranja"/>
    <w:rsid w:val="00071177"/>
  </w:style>
  <w:style w:type="paragraph" w:customStyle="1" w:styleId="Naslov1">
    <w:name w:val="Naslov1"/>
    <w:basedOn w:val="Normal"/>
    <w:next w:val="BodyText"/>
    <w:rsid w:val="00071177"/>
    <w:pPr>
      <w:keepNext/>
      <w:suppressAutoHyphens/>
      <w:spacing w:before="240" w:after="120"/>
    </w:pPr>
    <w:rPr>
      <w:rFonts w:ascii="Arial" w:eastAsia="SimSun" w:hAnsi="Arial" w:cs="Mangal"/>
      <w:sz w:val="28"/>
      <w:szCs w:val="28"/>
      <w:lang w:val="hr-HR" w:eastAsia="ar-SA"/>
    </w:rPr>
  </w:style>
  <w:style w:type="paragraph" w:styleId="BodyText">
    <w:name w:val="Body Text"/>
    <w:basedOn w:val="Normal"/>
    <w:link w:val="BodyTextChar"/>
    <w:rsid w:val="00071177"/>
    <w:pPr>
      <w:suppressAutoHyphens/>
      <w:jc w:val="right"/>
    </w:pPr>
    <w:rPr>
      <w:sz w:val="24"/>
      <w:szCs w:val="24"/>
      <w:lang w:val="en-US" w:eastAsia="ar-SA"/>
    </w:rPr>
  </w:style>
  <w:style w:type="character" w:customStyle="1" w:styleId="BodyTextChar">
    <w:name w:val="Body Text Char"/>
    <w:link w:val="BodyText"/>
    <w:rsid w:val="00071177"/>
    <w:rPr>
      <w:sz w:val="24"/>
      <w:szCs w:val="24"/>
      <w:lang w:val="en-US" w:eastAsia="ar-SA"/>
    </w:rPr>
  </w:style>
  <w:style w:type="paragraph" w:styleId="List">
    <w:name w:val="List"/>
    <w:basedOn w:val="BodyText"/>
    <w:rsid w:val="00071177"/>
    <w:rPr>
      <w:rFonts w:cs="Mangal"/>
    </w:rPr>
  </w:style>
  <w:style w:type="paragraph" w:customStyle="1" w:styleId="Opis">
    <w:name w:val="Opis"/>
    <w:basedOn w:val="Normal"/>
    <w:rsid w:val="00071177"/>
    <w:pPr>
      <w:suppressLineNumbers/>
      <w:suppressAutoHyphens/>
      <w:spacing w:before="120" w:after="120"/>
    </w:pPr>
    <w:rPr>
      <w:rFonts w:cs="Mangal"/>
      <w:i/>
      <w:iCs/>
      <w:sz w:val="24"/>
      <w:szCs w:val="24"/>
      <w:lang w:val="hr-HR" w:eastAsia="ar-SA"/>
    </w:rPr>
  </w:style>
  <w:style w:type="paragraph" w:customStyle="1" w:styleId="Indeks">
    <w:name w:val="Indeks"/>
    <w:basedOn w:val="Normal"/>
    <w:rsid w:val="00071177"/>
    <w:pPr>
      <w:suppressLineNumbers/>
      <w:suppressAutoHyphens/>
    </w:pPr>
    <w:rPr>
      <w:rFonts w:cs="Mangal"/>
      <w:sz w:val="24"/>
      <w:szCs w:val="24"/>
      <w:lang w:val="hr-HR" w:eastAsia="ar-SA"/>
    </w:rPr>
  </w:style>
  <w:style w:type="paragraph" w:styleId="BodyText3">
    <w:name w:val="Body Text 3"/>
    <w:basedOn w:val="Normal"/>
    <w:link w:val="BodyText3Char"/>
    <w:rsid w:val="00071177"/>
    <w:pPr>
      <w:suppressAutoHyphens/>
      <w:jc w:val="both"/>
    </w:pPr>
    <w:rPr>
      <w:sz w:val="24"/>
      <w:szCs w:val="24"/>
      <w:lang w:val="en-US" w:eastAsia="ar-SA"/>
    </w:rPr>
  </w:style>
  <w:style w:type="character" w:customStyle="1" w:styleId="BodyText3Char">
    <w:name w:val="Body Text 3 Char"/>
    <w:link w:val="BodyText3"/>
    <w:rsid w:val="00071177"/>
    <w:rPr>
      <w:sz w:val="24"/>
      <w:szCs w:val="24"/>
      <w:lang w:val="en-US" w:eastAsia="ar-SA"/>
    </w:rPr>
  </w:style>
  <w:style w:type="paragraph" w:styleId="BodyTextIndent">
    <w:name w:val="Body Text Indent"/>
    <w:basedOn w:val="Normal"/>
    <w:link w:val="BodyTextIndentChar"/>
    <w:rsid w:val="00071177"/>
    <w:pPr>
      <w:suppressAutoHyphens/>
      <w:ind w:left="-108" w:firstLine="108"/>
      <w:jc w:val="center"/>
    </w:pPr>
    <w:rPr>
      <w:sz w:val="24"/>
      <w:szCs w:val="24"/>
      <w:lang w:val="en-US" w:eastAsia="ar-SA"/>
    </w:rPr>
  </w:style>
  <w:style w:type="character" w:customStyle="1" w:styleId="BodyTextIndentChar">
    <w:name w:val="Body Text Indent Char"/>
    <w:link w:val="BodyTextIndent"/>
    <w:rsid w:val="00071177"/>
    <w:rPr>
      <w:sz w:val="24"/>
      <w:szCs w:val="24"/>
      <w:lang w:val="en-US" w:eastAsia="ar-SA"/>
    </w:rPr>
  </w:style>
  <w:style w:type="paragraph" w:styleId="BalloonText">
    <w:name w:val="Balloon Text"/>
    <w:basedOn w:val="Normal"/>
    <w:link w:val="BalloonTextChar"/>
    <w:uiPriority w:val="99"/>
    <w:rsid w:val="00071177"/>
    <w:pPr>
      <w:suppressAutoHyphens/>
    </w:pPr>
    <w:rPr>
      <w:rFonts w:ascii="Tahoma" w:hAnsi="Tahoma" w:cs="Tahoma"/>
      <w:sz w:val="16"/>
      <w:szCs w:val="16"/>
      <w:lang w:val="hr-HR" w:eastAsia="ar-SA"/>
    </w:rPr>
  </w:style>
  <w:style w:type="character" w:customStyle="1" w:styleId="BalloonTextChar">
    <w:name w:val="Balloon Text Char"/>
    <w:link w:val="BalloonText"/>
    <w:uiPriority w:val="99"/>
    <w:rsid w:val="00071177"/>
    <w:rPr>
      <w:rFonts w:ascii="Tahoma" w:hAnsi="Tahoma" w:cs="Tahoma"/>
      <w:sz w:val="16"/>
      <w:szCs w:val="16"/>
      <w:lang w:val="hr-HR" w:eastAsia="ar-SA"/>
    </w:rPr>
  </w:style>
  <w:style w:type="paragraph" w:customStyle="1" w:styleId="Sadrajitablice">
    <w:name w:val="Sadržaji tablice"/>
    <w:basedOn w:val="Normal"/>
    <w:rsid w:val="00071177"/>
    <w:pPr>
      <w:suppressLineNumbers/>
      <w:suppressAutoHyphens/>
    </w:pPr>
    <w:rPr>
      <w:sz w:val="24"/>
      <w:szCs w:val="24"/>
      <w:lang w:val="hr-HR" w:eastAsia="ar-SA"/>
    </w:rPr>
  </w:style>
  <w:style w:type="paragraph" w:customStyle="1" w:styleId="Naslovtablice">
    <w:name w:val="Naslov tablice"/>
    <w:basedOn w:val="Sadrajitablice"/>
    <w:rsid w:val="00071177"/>
    <w:pPr>
      <w:jc w:val="center"/>
    </w:pPr>
    <w:rPr>
      <w:b/>
      <w:bCs/>
    </w:rPr>
  </w:style>
  <w:style w:type="paragraph" w:customStyle="1" w:styleId="Izlistajsadraj">
    <w:name w:val="Izlistaj sadržaj"/>
    <w:basedOn w:val="Normal"/>
    <w:rsid w:val="00071177"/>
    <w:pPr>
      <w:suppressAutoHyphens/>
      <w:ind w:left="567"/>
    </w:pPr>
    <w:rPr>
      <w:sz w:val="24"/>
      <w:szCs w:val="24"/>
      <w:lang w:val="hr-HR" w:eastAsia="ar-SA"/>
    </w:rPr>
  </w:style>
  <w:style w:type="paragraph" w:customStyle="1" w:styleId="footnotedescription">
    <w:name w:val="footnote description"/>
    <w:next w:val="Normal"/>
    <w:link w:val="footnotedescriptionChar"/>
    <w:hidden/>
    <w:rsid w:val="00071177"/>
    <w:pPr>
      <w:spacing w:line="259" w:lineRule="auto"/>
      <w:ind w:left="34"/>
    </w:pPr>
    <w:rPr>
      <w:rFonts w:ascii="Calibri" w:eastAsia="Calibri" w:hAnsi="Calibri" w:cs="Calibri"/>
      <w:color w:val="000000"/>
      <w:sz w:val="18"/>
      <w:szCs w:val="22"/>
      <w:lang w:val="hr-BA" w:eastAsia="hr-BA"/>
    </w:rPr>
  </w:style>
  <w:style w:type="character" w:customStyle="1" w:styleId="footnotedescriptionChar">
    <w:name w:val="footnote description Char"/>
    <w:link w:val="footnotedescription"/>
    <w:rsid w:val="00071177"/>
    <w:rPr>
      <w:rFonts w:ascii="Calibri" w:eastAsia="Calibri" w:hAnsi="Calibri" w:cs="Calibri"/>
      <w:color w:val="000000"/>
      <w:sz w:val="18"/>
      <w:szCs w:val="22"/>
      <w:lang w:val="hr-BA" w:eastAsia="hr-BA"/>
    </w:rPr>
  </w:style>
  <w:style w:type="character" w:customStyle="1" w:styleId="footnotemark">
    <w:name w:val="footnote mark"/>
    <w:hidden/>
    <w:rsid w:val="00071177"/>
    <w:rPr>
      <w:rFonts w:ascii="Calibri" w:eastAsia="Calibri" w:hAnsi="Calibri" w:cs="Calibri"/>
      <w:color w:val="000000"/>
      <w:sz w:val="18"/>
      <w:vertAlign w:val="superscript"/>
    </w:rPr>
  </w:style>
  <w:style w:type="character" w:customStyle="1" w:styleId="Heading1Char1">
    <w:name w:val="Heading 1 Char1"/>
    <w:rsid w:val="00071177"/>
    <w:rPr>
      <w:rFonts w:ascii="Calibri Light" w:eastAsia="Times New Roman" w:hAnsi="Calibri Light" w:cs="Times New Roman"/>
      <w:color w:val="2E74B5"/>
      <w:sz w:val="32"/>
      <w:szCs w:val="32"/>
      <w:lang w:val="hr-HR"/>
    </w:rPr>
  </w:style>
  <w:style w:type="table" w:customStyle="1" w:styleId="TableGrid0">
    <w:name w:val="TableGrid"/>
    <w:rsid w:val="00071177"/>
    <w:rPr>
      <w:rFonts w:ascii="Calibri" w:hAnsi="Calibri"/>
      <w:sz w:val="22"/>
      <w:szCs w:val="22"/>
      <w:lang w:val="hr-BA" w:eastAsia="hr-BA"/>
    </w:rPr>
    <w:tblPr>
      <w:tblCellMar>
        <w:top w:w="0" w:type="dxa"/>
        <w:left w:w="0" w:type="dxa"/>
        <w:bottom w:w="0" w:type="dxa"/>
        <w:right w:w="0" w:type="dxa"/>
      </w:tblCellMar>
    </w:tblPr>
  </w:style>
  <w:style w:type="character" w:customStyle="1" w:styleId="Bodytext0">
    <w:name w:val="Body text_"/>
    <w:link w:val="Bodytext1"/>
    <w:locked/>
    <w:rsid w:val="00071177"/>
    <w:rPr>
      <w:rFonts w:ascii="Arial" w:hAnsi="Arial"/>
      <w:sz w:val="19"/>
      <w:szCs w:val="19"/>
      <w:shd w:val="clear" w:color="auto" w:fill="FFFFFF"/>
    </w:rPr>
  </w:style>
  <w:style w:type="paragraph" w:customStyle="1" w:styleId="Bodytext1">
    <w:name w:val="Body text1"/>
    <w:basedOn w:val="Normal"/>
    <w:link w:val="Bodytext0"/>
    <w:rsid w:val="00071177"/>
    <w:pPr>
      <w:widowControl w:val="0"/>
      <w:shd w:val="clear" w:color="auto" w:fill="FFFFFF"/>
      <w:spacing w:line="288" w:lineRule="exact"/>
      <w:ind w:hanging="2120"/>
      <w:jc w:val="both"/>
    </w:pPr>
    <w:rPr>
      <w:rFonts w:ascii="Arial" w:hAnsi="Arial"/>
      <w:sz w:val="19"/>
      <w:szCs w:val="19"/>
      <w:lang w:val="bs-Latn-BA" w:eastAsia="bs-Latn-BA"/>
    </w:rPr>
  </w:style>
  <w:style w:type="paragraph" w:customStyle="1" w:styleId="ListParagraph1">
    <w:name w:val="List Paragraph1"/>
    <w:basedOn w:val="Normal"/>
    <w:qFormat/>
    <w:rsid w:val="00071177"/>
    <w:pPr>
      <w:spacing w:after="200" w:line="276" w:lineRule="auto"/>
      <w:ind w:left="720"/>
      <w:contextualSpacing/>
    </w:pPr>
    <w:rPr>
      <w:rFonts w:ascii="Calibri" w:eastAsia="Calibri" w:hAnsi="Calibri"/>
      <w:szCs w:val="22"/>
      <w:lang w:val="en-US"/>
    </w:rPr>
  </w:style>
  <w:style w:type="character" w:styleId="CommentReference">
    <w:name w:val="annotation reference"/>
    <w:rsid w:val="00B66B69"/>
    <w:rPr>
      <w:sz w:val="16"/>
      <w:szCs w:val="16"/>
    </w:rPr>
  </w:style>
  <w:style w:type="paragraph" w:styleId="CommentText">
    <w:name w:val="annotation text"/>
    <w:basedOn w:val="Normal"/>
    <w:link w:val="CommentTextChar"/>
    <w:rsid w:val="00B66B69"/>
    <w:rPr>
      <w:sz w:val="20"/>
    </w:rPr>
  </w:style>
  <w:style w:type="character" w:customStyle="1" w:styleId="CommentTextChar">
    <w:name w:val="Comment Text Char"/>
    <w:link w:val="CommentText"/>
    <w:rsid w:val="00B66B69"/>
    <w:rPr>
      <w:lang w:val="en-GB" w:eastAsia="en-US"/>
    </w:rPr>
  </w:style>
  <w:style w:type="paragraph" w:styleId="CommentSubject">
    <w:name w:val="annotation subject"/>
    <w:basedOn w:val="CommentText"/>
    <w:next w:val="CommentText"/>
    <w:link w:val="CommentSubjectChar"/>
    <w:rsid w:val="00B66B69"/>
    <w:rPr>
      <w:b/>
      <w:bCs/>
    </w:rPr>
  </w:style>
  <w:style w:type="character" w:customStyle="1" w:styleId="CommentSubjectChar">
    <w:name w:val="Comment Subject Char"/>
    <w:link w:val="CommentSubject"/>
    <w:rsid w:val="00B66B69"/>
    <w:rPr>
      <w:b/>
      <w:bCs/>
      <w:lang w:val="en-GB" w:eastAsia="en-US"/>
    </w:rPr>
  </w:style>
  <w:style w:type="paragraph" w:styleId="Revision">
    <w:name w:val="Revision"/>
    <w:hidden/>
    <w:uiPriority w:val="99"/>
    <w:semiHidden/>
    <w:rsid w:val="00B66B69"/>
    <w:rPr>
      <w:sz w:val="22"/>
      <w:lang w:val="en-GB" w:eastAsia="en-US"/>
    </w:rPr>
  </w:style>
  <w:style w:type="character" w:customStyle="1" w:styleId="NoSpacingChar1">
    <w:name w:val="No Spacing Char1"/>
    <w:link w:val="NoSpacing2"/>
    <w:locked/>
    <w:rsid w:val="00A02F89"/>
    <w:rPr>
      <w:sz w:val="24"/>
    </w:rPr>
  </w:style>
  <w:style w:type="paragraph" w:customStyle="1" w:styleId="NoSpacing2">
    <w:name w:val="No Spacing2"/>
    <w:link w:val="NoSpacingChar1"/>
    <w:qFormat/>
    <w:rsid w:val="00A02F89"/>
    <w:rPr>
      <w:sz w:val="24"/>
    </w:rPr>
  </w:style>
  <w:style w:type="paragraph" w:customStyle="1" w:styleId="Uobiajeno">
    <w:name w:val="Uobičajeno"/>
    <w:rsid w:val="00534F9E"/>
    <w:pPr>
      <w:tabs>
        <w:tab w:val="left" w:pos="708"/>
      </w:tabs>
      <w:suppressAutoHyphens/>
      <w:spacing w:line="100" w:lineRule="atLeast"/>
    </w:pPr>
    <w:rPr>
      <w:color w:val="00000A"/>
      <w:sz w:val="24"/>
      <w:szCs w:val="24"/>
    </w:rPr>
  </w:style>
  <w:style w:type="paragraph" w:styleId="Title">
    <w:name w:val="Title"/>
    <w:basedOn w:val="Normal"/>
    <w:next w:val="Normal"/>
    <w:link w:val="TitleChar"/>
    <w:uiPriority w:val="10"/>
    <w:qFormat/>
    <w:rsid w:val="00534F9E"/>
    <w:pPr>
      <w:spacing w:line="216" w:lineRule="auto"/>
      <w:contextualSpacing/>
    </w:pPr>
    <w:rPr>
      <w:rFonts w:ascii="Calibri Light" w:hAnsi="Calibri Light"/>
      <w:color w:val="404040"/>
      <w:spacing w:val="-10"/>
      <w:kern w:val="28"/>
      <w:sz w:val="56"/>
      <w:szCs w:val="56"/>
      <w:lang w:val="en-US"/>
    </w:rPr>
  </w:style>
  <w:style w:type="character" w:customStyle="1" w:styleId="TitleChar">
    <w:name w:val="Title Char"/>
    <w:link w:val="Title"/>
    <w:uiPriority w:val="10"/>
    <w:rsid w:val="00534F9E"/>
    <w:rPr>
      <w:rFonts w:ascii="Calibri Light" w:hAnsi="Calibri Light"/>
      <w:color w:val="404040"/>
      <w:spacing w:val="-10"/>
      <w:kern w:val="28"/>
      <w:sz w:val="56"/>
      <w:szCs w:val="56"/>
      <w:lang w:val="en-US" w:eastAsia="en-US"/>
    </w:rPr>
  </w:style>
  <w:style w:type="paragraph" w:styleId="Subtitle">
    <w:name w:val="Subtitle"/>
    <w:basedOn w:val="Normal"/>
    <w:next w:val="Normal"/>
    <w:link w:val="SubtitleChar"/>
    <w:uiPriority w:val="11"/>
    <w:qFormat/>
    <w:rsid w:val="00534F9E"/>
    <w:pPr>
      <w:numPr>
        <w:ilvl w:val="1"/>
      </w:numPr>
      <w:spacing w:after="160" w:line="259" w:lineRule="auto"/>
    </w:pPr>
    <w:rPr>
      <w:rFonts w:ascii="Calibri" w:hAnsi="Calibri"/>
      <w:color w:val="5A5A5A"/>
      <w:spacing w:val="15"/>
      <w:szCs w:val="22"/>
      <w:lang w:val="en-US"/>
    </w:rPr>
  </w:style>
  <w:style w:type="character" w:customStyle="1" w:styleId="SubtitleChar">
    <w:name w:val="Subtitle Char"/>
    <w:link w:val="Subtitle"/>
    <w:uiPriority w:val="11"/>
    <w:rsid w:val="00534F9E"/>
    <w:rPr>
      <w:rFonts w:ascii="Calibri" w:hAnsi="Calibri"/>
      <w:color w:val="5A5A5A"/>
      <w:spacing w:val="15"/>
      <w:sz w:val="22"/>
      <w:szCs w:val="22"/>
      <w:lang w:val="en-US" w:eastAsia="en-US"/>
    </w:rPr>
  </w:style>
  <w:style w:type="paragraph" w:customStyle="1" w:styleId="Bezproreda">
    <w:name w:val="Bez proreda"/>
    <w:uiPriority w:val="99"/>
    <w:qFormat/>
    <w:rsid w:val="00534F9E"/>
    <w:rPr>
      <w:rFonts w:ascii="Calibri" w:eastAsia="Calibri" w:hAnsi="Calibri"/>
      <w:sz w:val="22"/>
      <w:szCs w:val="22"/>
      <w:lang w:val="hr-BA" w:eastAsia="en-US"/>
    </w:rPr>
  </w:style>
</w:styles>
</file>

<file path=word/webSettings.xml><?xml version="1.0" encoding="utf-8"?>
<w:webSettings xmlns:r="http://schemas.openxmlformats.org/officeDocument/2006/relationships" xmlns:w="http://schemas.openxmlformats.org/wordprocessingml/2006/main">
  <w:divs>
    <w:div w:id="1474244">
      <w:bodyDiv w:val="1"/>
      <w:marLeft w:val="0"/>
      <w:marRight w:val="0"/>
      <w:marTop w:val="0"/>
      <w:marBottom w:val="0"/>
      <w:divBdr>
        <w:top w:val="none" w:sz="0" w:space="0" w:color="auto"/>
        <w:left w:val="none" w:sz="0" w:space="0" w:color="auto"/>
        <w:bottom w:val="none" w:sz="0" w:space="0" w:color="auto"/>
        <w:right w:val="none" w:sz="0" w:space="0" w:color="auto"/>
      </w:divBdr>
    </w:div>
    <w:div w:id="23678754">
      <w:bodyDiv w:val="1"/>
      <w:marLeft w:val="0"/>
      <w:marRight w:val="0"/>
      <w:marTop w:val="0"/>
      <w:marBottom w:val="0"/>
      <w:divBdr>
        <w:top w:val="none" w:sz="0" w:space="0" w:color="auto"/>
        <w:left w:val="none" w:sz="0" w:space="0" w:color="auto"/>
        <w:bottom w:val="none" w:sz="0" w:space="0" w:color="auto"/>
        <w:right w:val="none" w:sz="0" w:space="0" w:color="auto"/>
      </w:divBdr>
    </w:div>
    <w:div w:id="44912383">
      <w:bodyDiv w:val="1"/>
      <w:marLeft w:val="0"/>
      <w:marRight w:val="0"/>
      <w:marTop w:val="0"/>
      <w:marBottom w:val="0"/>
      <w:divBdr>
        <w:top w:val="none" w:sz="0" w:space="0" w:color="auto"/>
        <w:left w:val="none" w:sz="0" w:space="0" w:color="auto"/>
        <w:bottom w:val="none" w:sz="0" w:space="0" w:color="auto"/>
        <w:right w:val="none" w:sz="0" w:space="0" w:color="auto"/>
      </w:divBdr>
    </w:div>
    <w:div w:id="52972562">
      <w:bodyDiv w:val="1"/>
      <w:marLeft w:val="0"/>
      <w:marRight w:val="0"/>
      <w:marTop w:val="0"/>
      <w:marBottom w:val="0"/>
      <w:divBdr>
        <w:top w:val="none" w:sz="0" w:space="0" w:color="auto"/>
        <w:left w:val="none" w:sz="0" w:space="0" w:color="auto"/>
        <w:bottom w:val="none" w:sz="0" w:space="0" w:color="auto"/>
        <w:right w:val="none" w:sz="0" w:space="0" w:color="auto"/>
      </w:divBdr>
    </w:div>
    <w:div w:id="63190005">
      <w:bodyDiv w:val="1"/>
      <w:marLeft w:val="0"/>
      <w:marRight w:val="0"/>
      <w:marTop w:val="0"/>
      <w:marBottom w:val="0"/>
      <w:divBdr>
        <w:top w:val="none" w:sz="0" w:space="0" w:color="auto"/>
        <w:left w:val="none" w:sz="0" w:space="0" w:color="auto"/>
        <w:bottom w:val="none" w:sz="0" w:space="0" w:color="auto"/>
        <w:right w:val="none" w:sz="0" w:space="0" w:color="auto"/>
      </w:divBdr>
    </w:div>
    <w:div w:id="78068970">
      <w:bodyDiv w:val="1"/>
      <w:marLeft w:val="0"/>
      <w:marRight w:val="0"/>
      <w:marTop w:val="0"/>
      <w:marBottom w:val="0"/>
      <w:divBdr>
        <w:top w:val="none" w:sz="0" w:space="0" w:color="auto"/>
        <w:left w:val="none" w:sz="0" w:space="0" w:color="auto"/>
        <w:bottom w:val="none" w:sz="0" w:space="0" w:color="auto"/>
        <w:right w:val="none" w:sz="0" w:space="0" w:color="auto"/>
      </w:divBdr>
    </w:div>
    <w:div w:id="79907840">
      <w:bodyDiv w:val="1"/>
      <w:marLeft w:val="0"/>
      <w:marRight w:val="0"/>
      <w:marTop w:val="0"/>
      <w:marBottom w:val="0"/>
      <w:divBdr>
        <w:top w:val="none" w:sz="0" w:space="0" w:color="auto"/>
        <w:left w:val="none" w:sz="0" w:space="0" w:color="auto"/>
        <w:bottom w:val="none" w:sz="0" w:space="0" w:color="auto"/>
        <w:right w:val="none" w:sz="0" w:space="0" w:color="auto"/>
      </w:divBdr>
    </w:div>
    <w:div w:id="88358833">
      <w:bodyDiv w:val="1"/>
      <w:marLeft w:val="0"/>
      <w:marRight w:val="0"/>
      <w:marTop w:val="0"/>
      <w:marBottom w:val="0"/>
      <w:divBdr>
        <w:top w:val="none" w:sz="0" w:space="0" w:color="auto"/>
        <w:left w:val="none" w:sz="0" w:space="0" w:color="auto"/>
        <w:bottom w:val="none" w:sz="0" w:space="0" w:color="auto"/>
        <w:right w:val="none" w:sz="0" w:space="0" w:color="auto"/>
      </w:divBdr>
    </w:div>
    <w:div w:id="95102676">
      <w:bodyDiv w:val="1"/>
      <w:marLeft w:val="0"/>
      <w:marRight w:val="0"/>
      <w:marTop w:val="0"/>
      <w:marBottom w:val="0"/>
      <w:divBdr>
        <w:top w:val="none" w:sz="0" w:space="0" w:color="auto"/>
        <w:left w:val="none" w:sz="0" w:space="0" w:color="auto"/>
        <w:bottom w:val="none" w:sz="0" w:space="0" w:color="auto"/>
        <w:right w:val="none" w:sz="0" w:space="0" w:color="auto"/>
      </w:divBdr>
    </w:div>
    <w:div w:id="100614171">
      <w:bodyDiv w:val="1"/>
      <w:marLeft w:val="0"/>
      <w:marRight w:val="0"/>
      <w:marTop w:val="0"/>
      <w:marBottom w:val="0"/>
      <w:divBdr>
        <w:top w:val="none" w:sz="0" w:space="0" w:color="auto"/>
        <w:left w:val="none" w:sz="0" w:space="0" w:color="auto"/>
        <w:bottom w:val="none" w:sz="0" w:space="0" w:color="auto"/>
        <w:right w:val="none" w:sz="0" w:space="0" w:color="auto"/>
      </w:divBdr>
    </w:div>
    <w:div w:id="103351850">
      <w:bodyDiv w:val="1"/>
      <w:marLeft w:val="0"/>
      <w:marRight w:val="0"/>
      <w:marTop w:val="0"/>
      <w:marBottom w:val="0"/>
      <w:divBdr>
        <w:top w:val="none" w:sz="0" w:space="0" w:color="auto"/>
        <w:left w:val="none" w:sz="0" w:space="0" w:color="auto"/>
        <w:bottom w:val="none" w:sz="0" w:space="0" w:color="auto"/>
        <w:right w:val="none" w:sz="0" w:space="0" w:color="auto"/>
      </w:divBdr>
    </w:div>
    <w:div w:id="116683333">
      <w:bodyDiv w:val="1"/>
      <w:marLeft w:val="0"/>
      <w:marRight w:val="0"/>
      <w:marTop w:val="0"/>
      <w:marBottom w:val="0"/>
      <w:divBdr>
        <w:top w:val="none" w:sz="0" w:space="0" w:color="auto"/>
        <w:left w:val="none" w:sz="0" w:space="0" w:color="auto"/>
        <w:bottom w:val="none" w:sz="0" w:space="0" w:color="auto"/>
        <w:right w:val="none" w:sz="0" w:space="0" w:color="auto"/>
      </w:divBdr>
    </w:div>
    <w:div w:id="126624701">
      <w:bodyDiv w:val="1"/>
      <w:marLeft w:val="0"/>
      <w:marRight w:val="0"/>
      <w:marTop w:val="0"/>
      <w:marBottom w:val="0"/>
      <w:divBdr>
        <w:top w:val="none" w:sz="0" w:space="0" w:color="auto"/>
        <w:left w:val="none" w:sz="0" w:space="0" w:color="auto"/>
        <w:bottom w:val="none" w:sz="0" w:space="0" w:color="auto"/>
        <w:right w:val="none" w:sz="0" w:space="0" w:color="auto"/>
      </w:divBdr>
    </w:div>
    <w:div w:id="128744873">
      <w:bodyDiv w:val="1"/>
      <w:marLeft w:val="0"/>
      <w:marRight w:val="0"/>
      <w:marTop w:val="0"/>
      <w:marBottom w:val="0"/>
      <w:divBdr>
        <w:top w:val="none" w:sz="0" w:space="0" w:color="auto"/>
        <w:left w:val="none" w:sz="0" w:space="0" w:color="auto"/>
        <w:bottom w:val="none" w:sz="0" w:space="0" w:color="auto"/>
        <w:right w:val="none" w:sz="0" w:space="0" w:color="auto"/>
      </w:divBdr>
    </w:div>
    <w:div w:id="154150203">
      <w:bodyDiv w:val="1"/>
      <w:marLeft w:val="0"/>
      <w:marRight w:val="0"/>
      <w:marTop w:val="0"/>
      <w:marBottom w:val="0"/>
      <w:divBdr>
        <w:top w:val="none" w:sz="0" w:space="0" w:color="auto"/>
        <w:left w:val="none" w:sz="0" w:space="0" w:color="auto"/>
        <w:bottom w:val="none" w:sz="0" w:space="0" w:color="auto"/>
        <w:right w:val="none" w:sz="0" w:space="0" w:color="auto"/>
      </w:divBdr>
    </w:div>
    <w:div w:id="159976837">
      <w:bodyDiv w:val="1"/>
      <w:marLeft w:val="0"/>
      <w:marRight w:val="0"/>
      <w:marTop w:val="0"/>
      <w:marBottom w:val="0"/>
      <w:divBdr>
        <w:top w:val="none" w:sz="0" w:space="0" w:color="auto"/>
        <w:left w:val="none" w:sz="0" w:space="0" w:color="auto"/>
        <w:bottom w:val="none" w:sz="0" w:space="0" w:color="auto"/>
        <w:right w:val="none" w:sz="0" w:space="0" w:color="auto"/>
      </w:divBdr>
    </w:div>
    <w:div w:id="169569608">
      <w:bodyDiv w:val="1"/>
      <w:marLeft w:val="0"/>
      <w:marRight w:val="0"/>
      <w:marTop w:val="0"/>
      <w:marBottom w:val="0"/>
      <w:divBdr>
        <w:top w:val="none" w:sz="0" w:space="0" w:color="auto"/>
        <w:left w:val="none" w:sz="0" w:space="0" w:color="auto"/>
        <w:bottom w:val="none" w:sz="0" w:space="0" w:color="auto"/>
        <w:right w:val="none" w:sz="0" w:space="0" w:color="auto"/>
      </w:divBdr>
    </w:div>
    <w:div w:id="170334926">
      <w:bodyDiv w:val="1"/>
      <w:marLeft w:val="0"/>
      <w:marRight w:val="0"/>
      <w:marTop w:val="0"/>
      <w:marBottom w:val="0"/>
      <w:divBdr>
        <w:top w:val="none" w:sz="0" w:space="0" w:color="auto"/>
        <w:left w:val="none" w:sz="0" w:space="0" w:color="auto"/>
        <w:bottom w:val="none" w:sz="0" w:space="0" w:color="auto"/>
        <w:right w:val="none" w:sz="0" w:space="0" w:color="auto"/>
      </w:divBdr>
    </w:div>
    <w:div w:id="195507522">
      <w:bodyDiv w:val="1"/>
      <w:marLeft w:val="0"/>
      <w:marRight w:val="0"/>
      <w:marTop w:val="0"/>
      <w:marBottom w:val="0"/>
      <w:divBdr>
        <w:top w:val="none" w:sz="0" w:space="0" w:color="auto"/>
        <w:left w:val="none" w:sz="0" w:space="0" w:color="auto"/>
        <w:bottom w:val="none" w:sz="0" w:space="0" w:color="auto"/>
        <w:right w:val="none" w:sz="0" w:space="0" w:color="auto"/>
      </w:divBdr>
    </w:div>
    <w:div w:id="197816065">
      <w:bodyDiv w:val="1"/>
      <w:marLeft w:val="0"/>
      <w:marRight w:val="0"/>
      <w:marTop w:val="0"/>
      <w:marBottom w:val="0"/>
      <w:divBdr>
        <w:top w:val="none" w:sz="0" w:space="0" w:color="auto"/>
        <w:left w:val="none" w:sz="0" w:space="0" w:color="auto"/>
        <w:bottom w:val="none" w:sz="0" w:space="0" w:color="auto"/>
        <w:right w:val="none" w:sz="0" w:space="0" w:color="auto"/>
      </w:divBdr>
    </w:div>
    <w:div w:id="203293653">
      <w:bodyDiv w:val="1"/>
      <w:marLeft w:val="0"/>
      <w:marRight w:val="0"/>
      <w:marTop w:val="0"/>
      <w:marBottom w:val="0"/>
      <w:divBdr>
        <w:top w:val="none" w:sz="0" w:space="0" w:color="auto"/>
        <w:left w:val="none" w:sz="0" w:space="0" w:color="auto"/>
        <w:bottom w:val="none" w:sz="0" w:space="0" w:color="auto"/>
        <w:right w:val="none" w:sz="0" w:space="0" w:color="auto"/>
      </w:divBdr>
    </w:div>
    <w:div w:id="211313927">
      <w:bodyDiv w:val="1"/>
      <w:marLeft w:val="0"/>
      <w:marRight w:val="0"/>
      <w:marTop w:val="0"/>
      <w:marBottom w:val="0"/>
      <w:divBdr>
        <w:top w:val="none" w:sz="0" w:space="0" w:color="auto"/>
        <w:left w:val="none" w:sz="0" w:space="0" w:color="auto"/>
        <w:bottom w:val="none" w:sz="0" w:space="0" w:color="auto"/>
        <w:right w:val="none" w:sz="0" w:space="0" w:color="auto"/>
      </w:divBdr>
    </w:div>
    <w:div w:id="257718293">
      <w:bodyDiv w:val="1"/>
      <w:marLeft w:val="0"/>
      <w:marRight w:val="0"/>
      <w:marTop w:val="0"/>
      <w:marBottom w:val="0"/>
      <w:divBdr>
        <w:top w:val="none" w:sz="0" w:space="0" w:color="auto"/>
        <w:left w:val="none" w:sz="0" w:space="0" w:color="auto"/>
        <w:bottom w:val="none" w:sz="0" w:space="0" w:color="auto"/>
        <w:right w:val="none" w:sz="0" w:space="0" w:color="auto"/>
      </w:divBdr>
    </w:div>
    <w:div w:id="266161859">
      <w:bodyDiv w:val="1"/>
      <w:marLeft w:val="0"/>
      <w:marRight w:val="0"/>
      <w:marTop w:val="0"/>
      <w:marBottom w:val="0"/>
      <w:divBdr>
        <w:top w:val="none" w:sz="0" w:space="0" w:color="auto"/>
        <w:left w:val="none" w:sz="0" w:space="0" w:color="auto"/>
        <w:bottom w:val="none" w:sz="0" w:space="0" w:color="auto"/>
        <w:right w:val="none" w:sz="0" w:space="0" w:color="auto"/>
      </w:divBdr>
    </w:div>
    <w:div w:id="318657286">
      <w:bodyDiv w:val="1"/>
      <w:marLeft w:val="0"/>
      <w:marRight w:val="0"/>
      <w:marTop w:val="0"/>
      <w:marBottom w:val="0"/>
      <w:divBdr>
        <w:top w:val="none" w:sz="0" w:space="0" w:color="auto"/>
        <w:left w:val="none" w:sz="0" w:space="0" w:color="auto"/>
        <w:bottom w:val="none" w:sz="0" w:space="0" w:color="auto"/>
        <w:right w:val="none" w:sz="0" w:space="0" w:color="auto"/>
      </w:divBdr>
    </w:div>
    <w:div w:id="321203732">
      <w:bodyDiv w:val="1"/>
      <w:marLeft w:val="0"/>
      <w:marRight w:val="0"/>
      <w:marTop w:val="0"/>
      <w:marBottom w:val="0"/>
      <w:divBdr>
        <w:top w:val="none" w:sz="0" w:space="0" w:color="auto"/>
        <w:left w:val="none" w:sz="0" w:space="0" w:color="auto"/>
        <w:bottom w:val="none" w:sz="0" w:space="0" w:color="auto"/>
        <w:right w:val="none" w:sz="0" w:space="0" w:color="auto"/>
      </w:divBdr>
    </w:div>
    <w:div w:id="322589326">
      <w:bodyDiv w:val="1"/>
      <w:marLeft w:val="0"/>
      <w:marRight w:val="0"/>
      <w:marTop w:val="0"/>
      <w:marBottom w:val="0"/>
      <w:divBdr>
        <w:top w:val="none" w:sz="0" w:space="0" w:color="auto"/>
        <w:left w:val="none" w:sz="0" w:space="0" w:color="auto"/>
        <w:bottom w:val="none" w:sz="0" w:space="0" w:color="auto"/>
        <w:right w:val="none" w:sz="0" w:space="0" w:color="auto"/>
      </w:divBdr>
    </w:div>
    <w:div w:id="354383257">
      <w:bodyDiv w:val="1"/>
      <w:marLeft w:val="0"/>
      <w:marRight w:val="0"/>
      <w:marTop w:val="0"/>
      <w:marBottom w:val="0"/>
      <w:divBdr>
        <w:top w:val="none" w:sz="0" w:space="0" w:color="auto"/>
        <w:left w:val="none" w:sz="0" w:space="0" w:color="auto"/>
        <w:bottom w:val="none" w:sz="0" w:space="0" w:color="auto"/>
        <w:right w:val="none" w:sz="0" w:space="0" w:color="auto"/>
      </w:divBdr>
    </w:div>
    <w:div w:id="364253543">
      <w:bodyDiv w:val="1"/>
      <w:marLeft w:val="0"/>
      <w:marRight w:val="0"/>
      <w:marTop w:val="0"/>
      <w:marBottom w:val="0"/>
      <w:divBdr>
        <w:top w:val="none" w:sz="0" w:space="0" w:color="auto"/>
        <w:left w:val="none" w:sz="0" w:space="0" w:color="auto"/>
        <w:bottom w:val="none" w:sz="0" w:space="0" w:color="auto"/>
        <w:right w:val="none" w:sz="0" w:space="0" w:color="auto"/>
      </w:divBdr>
    </w:div>
    <w:div w:id="378894150">
      <w:bodyDiv w:val="1"/>
      <w:marLeft w:val="0"/>
      <w:marRight w:val="0"/>
      <w:marTop w:val="0"/>
      <w:marBottom w:val="0"/>
      <w:divBdr>
        <w:top w:val="none" w:sz="0" w:space="0" w:color="auto"/>
        <w:left w:val="none" w:sz="0" w:space="0" w:color="auto"/>
        <w:bottom w:val="none" w:sz="0" w:space="0" w:color="auto"/>
        <w:right w:val="none" w:sz="0" w:space="0" w:color="auto"/>
      </w:divBdr>
    </w:div>
    <w:div w:id="385182032">
      <w:bodyDiv w:val="1"/>
      <w:marLeft w:val="0"/>
      <w:marRight w:val="0"/>
      <w:marTop w:val="0"/>
      <w:marBottom w:val="0"/>
      <w:divBdr>
        <w:top w:val="none" w:sz="0" w:space="0" w:color="auto"/>
        <w:left w:val="none" w:sz="0" w:space="0" w:color="auto"/>
        <w:bottom w:val="none" w:sz="0" w:space="0" w:color="auto"/>
        <w:right w:val="none" w:sz="0" w:space="0" w:color="auto"/>
      </w:divBdr>
    </w:div>
    <w:div w:id="387263099">
      <w:bodyDiv w:val="1"/>
      <w:marLeft w:val="0"/>
      <w:marRight w:val="0"/>
      <w:marTop w:val="0"/>
      <w:marBottom w:val="0"/>
      <w:divBdr>
        <w:top w:val="none" w:sz="0" w:space="0" w:color="auto"/>
        <w:left w:val="none" w:sz="0" w:space="0" w:color="auto"/>
        <w:bottom w:val="none" w:sz="0" w:space="0" w:color="auto"/>
        <w:right w:val="none" w:sz="0" w:space="0" w:color="auto"/>
      </w:divBdr>
    </w:div>
    <w:div w:id="396902719">
      <w:bodyDiv w:val="1"/>
      <w:marLeft w:val="0"/>
      <w:marRight w:val="0"/>
      <w:marTop w:val="0"/>
      <w:marBottom w:val="0"/>
      <w:divBdr>
        <w:top w:val="none" w:sz="0" w:space="0" w:color="auto"/>
        <w:left w:val="none" w:sz="0" w:space="0" w:color="auto"/>
        <w:bottom w:val="none" w:sz="0" w:space="0" w:color="auto"/>
        <w:right w:val="none" w:sz="0" w:space="0" w:color="auto"/>
      </w:divBdr>
    </w:div>
    <w:div w:id="418403565">
      <w:bodyDiv w:val="1"/>
      <w:marLeft w:val="0"/>
      <w:marRight w:val="0"/>
      <w:marTop w:val="0"/>
      <w:marBottom w:val="0"/>
      <w:divBdr>
        <w:top w:val="none" w:sz="0" w:space="0" w:color="auto"/>
        <w:left w:val="none" w:sz="0" w:space="0" w:color="auto"/>
        <w:bottom w:val="none" w:sz="0" w:space="0" w:color="auto"/>
        <w:right w:val="none" w:sz="0" w:space="0" w:color="auto"/>
      </w:divBdr>
    </w:div>
    <w:div w:id="418523278">
      <w:bodyDiv w:val="1"/>
      <w:marLeft w:val="0"/>
      <w:marRight w:val="0"/>
      <w:marTop w:val="0"/>
      <w:marBottom w:val="0"/>
      <w:divBdr>
        <w:top w:val="none" w:sz="0" w:space="0" w:color="auto"/>
        <w:left w:val="none" w:sz="0" w:space="0" w:color="auto"/>
        <w:bottom w:val="none" w:sz="0" w:space="0" w:color="auto"/>
        <w:right w:val="none" w:sz="0" w:space="0" w:color="auto"/>
      </w:divBdr>
    </w:div>
    <w:div w:id="425734049">
      <w:bodyDiv w:val="1"/>
      <w:marLeft w:val="0"/>
      <w:marRight w:val="0"/>
      <w:marTop w:val="0"/>
      <w:marBottom w:val="0"/>
      <w:divBdr>
        <w:top w:val="none" w:sz="0" w:space="0" w:color="auto"/>
        <w:left w:val="none" w:sz="0" w:space="0" w:color="auto"/>
        <w:bottom w:val="none" w:sz="0" w:space="0" w:color="auto"/>
        <w:right w:val="none" w:sz="0" w:space="0" w:color="auto"/>
      </w:divBdr>
    </w:div>
    <w:div w:id="426923015">
      <w:bodyDiv w:val="1"/>
      <w:marLeft w:val="0"/>
      <w:marRight w:val="0"/>
      <w:marTop w:val="0"/>
      <w:marBottom w:val="0"/>
      <w:divBdr>
        <w:top w:val="none" w:sz="0" w:space="0" w:color="auto"/>
        <w:left w:val="none" w:sz="0" w:space="0" w:color="auto"/>
        <w:bottom w:val="none" w:sz="0" w:space="0" w:color="auto"/>
        <w:right w:val="none" w:sz="0" w:space="0" w:color="auto"/>
      </w:divBdr>
    </w:div>
    <w:div w:id="436868461">
      <w:bodyDiv w:val="1"/>
      <w:marLeft w:val="0"/>
      <w:marRight w:val="0"/>
      <w:marTop w:val="0"/>
      <w:marBottom w:val="0"/>
      <w:divBdr>
        <w:top w:val="none" w:sz="0" w:space="0" w:color="auto"/>
        <w:left w:val="none" w:sz="0" w:space="0" w:color="auto"/>
        <w:bottom w:val="none" w:sz="0" w:space="0" w:color="auto"/>
        <w:right w:val="none" w:sz="0" w:space="0" w:color="auto"/>
      </w:divBdr>
    </w:div>
    <w:div w:id="438061173">
      <w:bodyDiv w:val="1"/>
      <w:marLeft w:val="0"/>
      <w:marRight w:val="0"/>
      <w:marTop w:val="0"/>
      <w:marBottom w:val="0"/>
      <w:divBdr>
        <w:top w:val="none" w:sz="0" w:space="0" w:color="auto"/>
        <w:left w:val="none" w:sz="0" w:space="0" w:color="auto"/>
        <w:bottom w:val="none" w:sz="0" w:space="0" w:color="auto"/>
        <w:right w:val="none" w:sz="0" w:space="0" w:color="auto"/>
      </w:divBdr>
    </w:div>
    <w:div w:id="442119057">
      <w:bodyDiv w:val="1"/>
      <w:marLeft w:val="0"/>
      <w:marRight w:val="0"/>
      <w:marTop w:val="0"/>
      <w:marBottom w:val="0"/>
      <w:divBdr>
        <w:top w:val="none" w:sz="0" w:space="0" w:color="auto"/>
        <w:left w:val="none" w:sz="0" w:space="0" w:color="auto"/>
        <w:bottom w:val="none" w:sz="0" w:space="0" w:color="auto"/>
        <w:right w:val="none" w:sz="0" w:space="0" w:color="auto"/>
      </w:divBdr>
    </w:div>
    <w:div w:id="446243509">
      <w:bodyDiv w:val="1"/>
      <w:marLeft w:val="0"/>
      <w:marRight w:val="0"/>
      <w:marTop w:val="0"/>
      <w:marBottom w:val="0"/>
      <w:divBdr>
        <w:top w:val="none" w:sz="0" w:space="0" w:color="auto"/>
        <w:left w:val="none" w:sz="0" w:space="0" w:color="auto"/>
        <w:bottom w:val="none" w:sz="0" w:space="0" w:color="auto"/>
        <w:right w:val="none" w:sz="0" w:space="0" w:color="auto"/>
      </w:divBdr>
    </w:div>
    <w:div w:id="446699756">
      <w:bodyDiv w:val="1"/>
      <w:marLeft w:val="0"/>
      <w:marRight w:val="0"/>
      <w:marTop w:val="0"/>
      <w:marBottom w:val="0"/>
      <w:divBdr>
        <w:top w:val="none" w:sz="0" w:space="0" w:color="auto"/>
        <w:left w:val="none" w:sz="0" w:space="0" w:color="auto"/>
        <w:bottom w:val="none" w:sz="0" w:space="0" w:color="auto"/>
        <w:right w:val="none" w:sz="0" w:space="0" w:color="auto"/>
      </w:divBdr>
    </w:div>
    <w:div w:id="449318873">
      <w:bodyDiv w:val="1"/>
      <w:marLeft w:val="0"/>
      <w:marRight w:val="0"/>
      <w:marTop w:val="0"/>
      <w:marBottom w:val="0"/>
      <w:divBdr>
        <w:top w:val="none" w:sz="0" w:space="0" w:color="auto"/>
        <w:left w:val="none" w:sz="0" w:space="0" w:color="auto"/>
        <w:bottom w:val="none" w:sz="0" w:space="0" w:color="auto"/>
        <w:right w:val="none" w:sz="0" w:space="0" w:color="auto"/>
      </w:divBdr>
    </w:div>
    <w:div w:id="456026109">
      <w:bodyDiv w:val="1"/>
      <w:marLeft w:val="0"/>
      <w:marRight w:val="0"/>
      <w:marTop w:val="0"/>
      <w:marBottom w:val="0"/>
      <w:divBdr>
        <w:top w:val="none" w:sz="0" w:space="0" w:color="auto"/>
        <w:left w:val="none" w:sz="0" w:space="0" w:color="auto"/>
        <w:bottom w:val="none" w:sz="0" w:space="0" w:color="auto"/>
        <w:right w:val="none" w:sz="0" w:space="0" w:color="auto"/>
      </w:divBdr>
    </w:div>
    <w:div w:id="460271713">
      <w:bodyDiv w:val="1"/>
      <w:marLeft w:val="0"/>
      <w:marRight w:val="0"/>
      <w:marTop w:val="0"/>
      <w:marBottom w:val="0"/>
      <w:divBdr>
        <w:top w:val="none" w:sz="0" w:space="0" w:color="auto"/>
        <w:left w:val="none" w:sz="0" w:space="0" w:color="auto"/>
        <w:bottom w:val="none" w:sz="0" w:space="0" w:color="auto"/>
        <w:right w:val="none" w:sz="0" w:space="0" w:color="auto"/>
      </w:divBdr>
    </w:div>
    <w:div w:id="479885609">
      <w:bodyDiv w:val="1"/>
      <w:marLeft w:val="0"/>
      <w:marRight w:val="0"/>
      <w:marTop w:val="0"/>
      <w:marBottom w:val="0"/>
      <w:divBdr>
        <w:top w:val="none" w:sz="0" w:space="0" w:color="auto"/>
        <w:left w:val="none" w:sz="0" w:space="0" w:color="auto"/>
        <w:bottom w:val="none" w:sz="0" w:space="0" w:color="auto"/>
        <w:right w:val="none" w:sz="0" w:space="0" w:color="auto"/>
      </w:divBdr>
    </w:div>
    <w:div w:id="533268208">
      <w:bodyDiv w:val="1"/>
      <w:marLeft w:val="0"/>
      <w:marRight w:val="0"/>
      <w:marTop w:val="0"/>
      <w:marBottom w:val="0"/>
      <w:divBdr>
        <w:top w:val="none" w:sz="0" w:space="0" w:color="auto"/>
        <w:left w:val="none" w:sz="0" w:space="0" w:color="auto"/>
        <w:bottom w:val="none" w:sz="0" w:space="0" w:color="auto"/>
        <w:right w:val="none" w:sz="0" w:space="0" w:color="auto"/>
      </w:divBdr>
    </w:div>
    <w:div w:id="536041435">
      <w:bodyDiv w:val="1"/>
      <w:marLeft w:val="0"/>
      <w:marRight w:val="0"/>
      <w:marTop w:val="0"/>
      <w:marBottom w:val="0"/>
      <w:divBdr>
        <w:top w:val="none" w:sz="0" w:space="0" w:color="auto"/>
        <w:left w:val="none" w:sz="0" w:space="0" w:color="auto"/>
        <w:bottom w:val="none" w:sz="0" w:space="0" w:color="auto"/>
        <w:right w:val="none" w:sz="0" w:space="0" w:color="auto"/>
      </w:divBdr>
    </w:div>
    <w:div w:id="562524533">
      <w:bodyDiv w:val="1"/>
      <w:marLeft w:val="0"/>
      <w:marRight w:val="0"/>
      <w:marTop w:val="0"/>
      <w:marBottom w:val="0"/>
      <w:divBdr>
        <w:top w:val="none" w:sz="0" w:space="0" w:color="auto"/>
        <w:left w:val="none" w:sz="0" w:space="0" w:color="auto"/>
        <w:bottom w:val="none" w:sz="0" w:space="0" w:color="auto"/>
        <w:right w:val="none" w:sz="0" w:space="0" w:color="auto"/>
      </w:divBdr>
    </w:div>
    <w:div w:id="595750514">
      <w:bodyDiv w:val="1"/>
      <w:marLeft w:val="0"/>
      <w:marRight w:val="0"/>
      <w:marTop w:val="0"/>
      <w:marBottom w:val="0"/>
      <w:divBdr>
        <w:top w:val="none" w:sz="0" w:space="0" w:color="auto"/>
        <w:left w:val="none" w:sz="0" w:space="0" w:color="auto"/>
        <w:bottom w:val="none" w:sz="0" w:space="0" w:color="auto"/>
        <w:right w:val="none" w:sz="0" w:space="0" w:color="auto"/>
      </w:divBdr>
    </w:div>
    <w:div w:id="596015198">
      <w:bodyDiv w:val="1"/>
      <w:marLeft w:val="0"/>
      <w:marRight w:val="0"/>
      <w:marTop w:val="0"/>
      <w:marBottom w:val="0"/>
      <w:divBdr>
        <w:top w:val="none" w:sz="0" w:space="0" w:color="auto"/>
        <w:left w:val="none" w:sz="0" w:space="0" w:color="auto"/>
        <w:bottom w:val="none" w:sz="0" w:space="0" w:color="auto"/>
        <w:right w:val="none" w:sz="0" w:space="0" w:color="auto"/>
      </w:divBdr>
    </w:div>
    <w:div w:id="615675321">
      <w:bodyDiv w:val="1"/>
      <w:marLeft w:val="0"/>
      <w:marRight w:val="0"/>
      <w:marTop w:val="0"/>
      <w:marBottom w:val="0"/>
      <w:divBdr>
        <w:top w:val="none" w:sz="0" w:space="0" w:color="auto"/>
        <w:left w:val="none" w:sz="0" w:space="0" w:color="auto"/>
        <w:bottom w:val="none" w:sz="0" w:space="0" w:color="auto"/>
        <w:right w:val="none" w:sz="0" w:space="0" w:color="auto"/>
      </w:divBdr>
    </w:div>
    <w:div w:id="618494932">
      <w:bodyDiv w:val="1"/>
      <w:marLeft w:val="0"/>
      <w:marRight w:val="0"/>
      <w:marTop w:val="0"/>
      <w:marBottom w:val="0"/>
      <w:divBdr>
        <w:top w:val="none" w:sz="0" w:space="0" w:color="auto"/>
        <w:left w:val="none" w:sz="0" w:space="0" w:color="auto"/>
        <w:bottom w:val="none" w:sz="0" w:space="0" w:color="auto"/>
        <w:right w:val="none" w:sz="0" w:space="0" w:color="auto"/>
      </w:divBdr>
    </w:div>
    <w:div w:id="622079524">
      <w:bodyDiv w:val="1"/>
      <w:marLeft w:val="0"/>
      <w:marRight w:val="0"/>
      <w:marTop w:val="0"/>
      <w:marBottom w:val="0"/>
      <w:divBdr>
        <w:top w:val="none" w:sz="0" w:space="0" w:color="auto"/>
        <w:left w:val="none" w:sz="0" w:space="0" w:color="auto"/>
        <w:bottom w:val="none" w:sz="0" w:space="0" w:color="auto"/>
        <w:right w:val="none" w:sz="0" w:space="0" w:color="auto"/>
      </w:divBdr>
    </w:div>
    <w:div w:id="659891566">
      <w:bodyDiv w:val="1"/>
      <w:marLeft w:val="0"/>
      <w:marRight w:val="0"/>
      <w:marTop w:val="0"/>
      <w:marBottom w:val="0"/>
      <w:divBdr>
        <w:top w:val="none" w:sz="0" w:space="0" w:color="auto"/>
        <w:left w:val="none" w:sz="0" w:space="0" w:color="auto"/>
        <w:bottom w:val="none" w:sz="0" w:space="0" w:color="auto"/>
        <w:right w:val="none" w:sz="0" w:space="0" w:color="auto"/>
      </w:divBdr>
    </w:div>
    <w:div w:id="667444226">
      <w:bodyDiv w:val="1"/>
      <w:marLeft w:val="0"/>
      <w:marRight w:val="0"/>
      <w:marTop w:val="0"/>
      <w:marBottom w:val="0"/>
      <w:divBdr>
        <w:top w:val="none" w:sz="0" w:space="0" w:color="auto"/>
        <w:left w:val="none" w:sz="0" w:space="0" w:color="auto"/>
        <w:bottom w:val="none" w:sz="0" w:space="0" w:color="auto"/>
        <w:right w:val="none" w:sz="0" w:space="0" w:color="auto"/>
      </w:divBdr>
    </w:div>
    <w:div w:id="672226960">
      <w:bodyDiv w:val="1"/>
      <w:marLeft w:val="0"/>
      <w:marRight w:val="0"/>
      <w:marTop w:val="0"/>
      <w:marBottom w:val="0"/>
      <w:divBdr>
        <w:top w:val="none" w:sz="0" w:space="0" w:color="auto"/>
        <w:left w:val="none" w:sz="0" w:space="0" w:color="auto"/>
        <w:bottom w:val="none" w:sz="0" w:space="0" w:color="auto"/>
        <w:right w:val="none" w:sz="0" w:space="0" w:color="auto"/>
      </w:divBdr>
    </w:div>
    <w:div w:id="674192620">
      <w:bodyDiv w:val="1"/>
      <w:marLeft w:val="0"/>
      <w:marRight w:val="0"/>
      <w:marTop w:val="0"/>
      <w:marBottom w:val="0"/>
      <w:divBdr>
        <w:top w:val="none" w:sz="0" w:space="0" w:color="auto"/>
        <w:left w:val="none" w:sz="0" w:space="0" w:color="auto"/>
        <w:bottom w:val="none" w:sz="0" w:space="0" w:color="auto"/>
        <w:right w:val="none" w:sz="0" w:space="0" w:color="auto"/>
      </w:divBdr>
    </w:div>
    <w:div w:id="678654092">
      <w:bodyDiv w:val="1"/>
      <w:marLeft w:val="0"/>
      <w:marRight w:val="0"/>
      <w:marTop w:val="0"/>
      <w:marBottom w:val="0"/>
      <w:divBdr>
        <w:top w:val="none" w:sz="0" w:space="0" w:color="auto"/>
        <w:left w:val="none" w:sz="0" w:space="0" w:color="auto"/>
        <w:bottom w:val="none" w:sz="0" w:space="0" w:color="auto"/>
        <w:right w:val="none" w:sz="0" w:space="0" w:color="auto"/>
      </w:divBdr>
    </w:div>
    <w:div w:id="683047955">
      <w:bodyDiv w:val="1"/>
      <w:marLeft w:val="0"/>
      <w:marRight w:val="0"/>
      <w:marTop w:val="0"/>
      <w:marBottom w:val="0"/>
      <w:divBdr>
        <w:top w:val="none" w:sz="0" w:space="0" w:color="auto"/>
        <w:left w:val="none" w:sz="0" w:space="0" w:color="auto"/>
        <w:bottom w:val="none" w:sz="0" w:space="0" w:color="auto"/>
        <w:right w:val="none" w:sz="0" w:space="0" w:color="auto"/>
      </w:divBdr>
    </w:div>
    <w:div w:id="683628378">
      <w:bodyDiv w:val="1"/>
      <w:marLeft w:val="0"/>
      <w:marRight w:val="0"/>
      <w:marTop w:val="0"/>
      <w:marBottom w:val="0"/>
      <w:divBdr>
        <w:top w:val="none" w:sz="0" w:space="0" w:color="auto"/>
        <w:left w:val="none" w:sz="0" w:space="0" w:color="auto"/>
        <w:bottom w:val="none" w:sz="0" w:space="0" w:color="auto"/>
        <w:right w:val="none" w:sz="0" w:space="0" w:color="auto"/>
      </w:divBdr>
    </w:div>
    <w:div w:id="698119481">
      <w:bodyDiv w:val="1"/>
      <w:marLeft w:val="0"/>
      <w:marRight w:val="0"/>
      <w:marTop w:val="0"/>
      <w:marBottom w:val="0"/>
      <w:divBdr>
        <w:top w:val="none" w:sz="0" w:space="0" w:color="auto"/>
        <w:left w:val="none" w:sz="0" w:space="0" w:color="auto"/>
        <w:bottom w:val="none" w:sz="0" w:space="0" w:color="auto"/>
        <w:right w:val="none" w:sz="0" w:space="0" w:color="auto"/>
      </w:divBdr>
    </w:div>
    <w:div w:id="767850969">
      <w:bodyDiv w:val="1"/>
      <w:marLeft w:val="0"/>
      <w:marRight w:val="0"/>
      <w:marTop w:val="0"/>
      <w:marBottom w:val="0"/>
      <w:divBdr>
        <w:top w:val="none" w:sz="0" w:space="0" w:color="auto"/>
        <w:left w:val="none" w:sz="0" w:space="0" w:color="auto"/>
        <w:bottom w:val="none" w:sz="0" w:space="0" w:color="auto"/>
        <w:right w:val="none" w:sz="0" w:space="0" w:color="auto"/>
      </w:divBdr>
    </w:div>
    <w:div w:id="781262971">
      <w:bodyDiv w:val="1"/>
      <w:marLeft w:val="0"/>
      <w:marRight w:val="0"/>
      <w:marTop w:val="0"/>
      <w:marBottom w:val="0"/>
      <w:divBdr>
        <w:top w:val="none" w:sz="0" w:space="0" w:color="auto"/>
        <w:left w:val="none" w:sz="0" w:space="0" w:color="auto"/>
        <w:bottom w:val="none" w:sz="0" w:space="0" w:color="auto"/>
        <w:right w:val="none" w:sz="0" w:space="0" w:color="auto"/>
      </w:divBdr>
    </w:div>
    <w:div w:id="793400179">
      <w:bodyDiv w:val="1"/>
      <w:marLeft w:val="0"/>
      <w:marRight w:val="0"/>
      <w:marTop w:val="0"/>
      <w:marBottom w:val="0"/>
      <w:divBdr>
        <w:top w:val="none" w:sz="0" w:space="0" w:color="auto"/>
        <w:left w:val="none" w:sz="0" w:space="0" w:color="auto"/>
        <w:bottom w:val="none" w:sz="0" w:space="0" w:color="auto"/>
        <w:right w:val="none" w:sz="0" w:space="0" w:color="auto"/>
      </w:divBdr>
    </w:div>
    <w:div w:id="794711126">
      <w:bodyDiv w:val="1"/>
      <w:marLeft w:val="0"/>
      <w:marRight w:val="0"/>
      <w:marTop w:val="0"/>
      <w:marBottom w:val="0"/>
      <w:divBdr>
        <w:top w:val="none" w:sz="0" w:space="0" w:color="auto"/>
        <w:left w:val="none" w:sz="0" w:space="0" w:color="auto"/>
        <w:bottom w:val="none" w:sz="0" w:space="0" w:color="auto"/>
        <w:right w:val="none" w:sz="0" w:space="0" w:color="auto"/>
      </w:divBdr>
    </w:div>
    <w:div w:id="811413099">
      <w:bodyDiv w:val="1"/>
      <w:marLeft w:val="0"/>
      <w:marRight w:val="0"/>
      <w:marTop w:val="0"/>
      <w:marBottom w:val="0"/>
      <w:divBdr>
        <w:top w:val="none" w:sz="0" w:space="0" w:color="auto"/>
        <w:left w:val="none" w:sz="0" w:space="0" w:color="auto"/>
        <w:bottom w:val="none" w:sz="0" w:space="0" w:color="auto"/>
        <w:right w:val="none" w:sz="0" w:space="0" w:color="auto"/>
      </w:divBdr>
    </w:div>
    <w:div w:id="863784820">
      <w:bodyDiv w:val="1"/>
      <w:marLeft w:val="0"/>
      <w:marRight w:val="0"/>
      <w:marTop w:val="0"/>
      <w:marBottom w:val="0"/>
      <w:divBdr>
        <w:top w:val="none" w:sz="0" w:space="0" w:color="auto"/>
        <w:left w:val="none" w:sz="0" w:space="0" w:color="auto"/>
        <w:bottom w:val="none" w:sz="0" w:space="0" w:color="auto"/>
        <w:right w:val="none" w:sz="0" w:space="0" w:color="auto"/>
      </w:divBdr>
    </w:div>
    <w:div w:id="865799877">
      <w:bodyDiv w:val="1"/>
      <w:marLeft w:val="0"/>
      <w:marRight w:val="0"/>
      <w:marTop w:val="0"/>
      <w:marBottom w:val="0"/>
      <w:divBdr>
        <w:top w:val="none" w:sz="0" w:space="0" w:color="auto"/>
        <w:left w:val="none" w:sz="0" w:space="0" w:color="auto"/>
        <w:bottom w:val="none" w:sz="0" w:space="0" w:color="auto"/>
        <w:right w:val="none" w:sz="0" w:space="0" w:color="auto"/>
      </w:divBdr>
    </w:div>
    <w:div w:id="872503354">
      <w:bodyDiv w:val="1"/>
      <w:marLeft w:val="0"/>
      <w:marRight w:val="0"/>
      <w:marTop w:val="0"/>
      <w:marBottom w:val="0"/>
      <w:divBdr>
        <w:top w:val="none" w:sz="0" w:space="0" w:color="auto"/>
        <w:left w:val="none" w:sz="0" w:space="0" w:color="auto"/>
        <w:bottom w:val="none" w:sz="0" w:space="0" w:color="auto"/>
        <w:right w:val="none" w:sz="0" w:space="0" w:color="auto"/>
      </w:divBdr>
    </w:div>
    <w:div w:id="890001133">
      <w:bodyDiv w:val="1"/>
      <w:marLeft w:val="0"/>
      <w:marRight w:val="0"/>
      <w:marTop w:val="0"/>
      <w:marBottom w:val="0"/>
      <w:divBdr>
        <w:top w:val="none" w:sz="0" w:space="0" w:color="auto"/>
        <w:left w:val="none" w:sz="0" w:space="0" w:color="auto"/>
        <w:bottom w:val="none" w:sz="0" w:space="0" w:color="auto"/>
        <w:right w:val="none" w:sz="0" w:space="0" w:color="auto"/>
      </w:divBdr>
    </w:div>
    <w:div w:id="929116179">
      <w:bodyDiv w:val="1"/>
      <w:marLeft w:val="0"/>
      <w:marRight w:val="0"/>
      <w:marTop w:val="0"/>
      <w:marBottom w:val="0"/>
      <w:divBdr>
        <w:top w:val="none" w:sz="0" w:space="0" w:color="auto"/>
        <w:left w:val="none" w:sz="0" w:space="0" w:color="auto"/>
        <w:bottom w:val="none" w:sz="0" w:space="0" w:color="auto"/>
        <w:right w:val="none" w:sz="0" w:space="0" w:color="auto"/>
      </w:divBdr>
    </w:div>
    <w:div w:id="933824972">
      <w:bodyDiv w:val="1"/>
      <w:marLeft w:val="0"/>
      <w:marRight w:val="0"/>
      <w:marTop w:val="0"/>
      <w:marBottom w:val="0"/>
      <w:divBdr>
        <w:top w:val="none" w:sz="0" w:space="0" w:color="auto"/>
        <w:left w:val="none" w:sz="0" w:space="0" w:color="auto"/>
        <w:bottom w:val="none" w:sz="0" w:space="0" w:color="auto"/>
        <w:right w:val="none" w:sz="0" w:space="0" w:color="auto"/>
      </w:divBdr>
    </w:div>
    <w:div w:id="949430268">
      <w:bodyDiv w:val="1"/>
      <w:marLeft w:val="0"/>
      <w:marRight w:val="0"/>
      <w:marTop w:val="0"/>
      <w:marBottom w:val="0"/>
      <w:divBdr>
        <w:top w:val="none" w:sz="0" w:space="0" w:color="auto"/>
        <w:left w:val="none" w:sz="0" w:space="0" w:color="auto"/>
        <w:bottom w:val="none" w:sz="0" w:space="0" w:color="auto"/>
        <w:right w:val="none" w:sz="0" w:space="0" w:color="auto"/>
      </w:divBdr>
    </w:div>
    <w:div w:id="949583656">
      <w:bodyDiv w:val="1"/>
      <w:marLeft w:val="0"/>
      <w:marRight w:val="0"/>
      <w:marTop w:val="0"/>
      <w:marBottom w:val="0"/>
      <w:divBdr>
        <w:top w:val="none" w:sz="0" w:space="0" w:color="auto"/>
        <w:left w:val="none" w:sz="0" w:space="0" w:color="auto"/>
        <w:bottom w:val="none" w:sz="0" w:space="0" w:color="auto"/>
        <w:right w:val="none" w:sz="0" w:space="0" w:color="auto"/>
      </w:divBdr>
    </w:div>
    <w:div w:id="950167495">
      <w:bodyDiv w:val="1"/>
      <w:marLeft w:val="0"/>
      <w:marRight w:val="0"/>
      <w:marTop w:val="0"/>
      <w:marBottom w:val="0"/>
      <w:divBdr>
        <w:top w:val="none" w:sz="0" w:space="0" w:color="auto"/>
        <w:left w:val="none" w:sz="0" w:space="0" w:color="auto"/>
        <w:bottom w:val="none" w:sz="0" w:space="0" w:color="auto"/>
        <w:right w:val="none" w:sz="0" w:space="0" w:color="auto"/>
      </w:divBdr>
    </w:div>
    <w:div w:id="988945152">
      <w:bodyDiv w:val="1"/>
      <w:marLeft w:val="0"/>
      <w:marRight w:val="0"/>
      <w:marTop w:val="0"/>
      <w:marBottom w:val="0"/>
      <w:divBdr>
        <w:top w:val="none" w:sz="0" w:space="0" w:color="auto"/>
        <w:left w:val="none" w:sz="0" w:space="0" w:color="auto"/>
        <w:bottom w:val="none" w:sz="0" w:space="0" w:color="auto"/>
        <w:right w:val="none" w:sz="0" w:space="0" w:color="auto"/>
      </w:divBdr>
    </w:div>
    <w:div w:id="995110937">
      <w:bodyDiv w:val="1"/>
      <w:marLeft w:val="0"/>
      <w:marRight w:val="0"/>
      <w:marTop w:val="0"/>
      <w:marBottom w:val="0"/>
      <w:divBdr>
        <w:top w:val="none" w:sz="0" w:space="0" w:color="auto"/>
        <w:left w:val="none" w:sz="0" w:space="0" w:color="auto"/>
        <w:bottom w:val="none" w:sz="0" w:space="0" w:color="auto"/>
        <w:right w:val="none" w:sz="0" w:space="0" w:color="auto"/>
      </w:divBdr>
    </w:div>
    <w:div w:id="1002439250">
      <w:bodyDiv w:val="1"/>
      <w:marLeft w:val="0"/>
      <w:marRight w:val="0"/>
      <w:marTop w:val="0"/>
      <w:marBottom w:val="0"/>
      <w:divBdr>
        <w:top w:val="none" w:sz="0" w:space="0" w:color="auto"/>
        <w:left w:val="none" w:sz="0" w:space="0" w:color="auto"/>
        <w:bottom w:val="none" w:sz="0" w:space="0" w:color="auto"/>
        <w:right w:val="none" w:sz="0" w:space="0" w:color="auto"/>
      </w:divBdr>
    </w:div>
    <w:div w:id="1090585503">
      <w:bodyDiv w:val="1"/>
      <w:marLeft w:val="0"/>
      <w:marRight w:val="0"/>
      <w:marTop w:val="0"/>
      <w:marBottom w:val="0"/>
      <w:divBdr>
        <w:top w:val="none" w:sz="0" w:space="0" w:color="auto"/>
        <w:left w:val="none" w:sz="0" w:space="0" w:color="auto"/>
        <w:bottom w:val="none" w:sz="0" w:space="0" w:color="auto"/>
        <w:right w:val="none" w:sz="0" w:space="0" w:color="auto"/>
      </w:divBdr>
    </w:div>
    <w:div w:id="1114255169">
      <w:bodyDiv w:val="1"/>
      <w:marLeft w:val="0"/>
      <w:marRight w:val="0"/>
      <w:marTop w:val="0"/>
      <w:marBottom w:val="0"/>
      <w:divBdr>
        <w:top w:val="none" w:sz="0" w:space="0" w:color="auto"/>
        <w:left w:val="none" w:sz="0" w:space="0" w:color="auto"/>
        <w:bottom w:val="none" w:sz="0" w:space="0" w:color="auto"/>
        <w:right w:val="none" w:sz="0" w:space="0" w:color="auto"/>
      </w:divBdr>
    </w:div>
    <w:div w:id="1137843461">
      <w:bodyDiv w:val="1"/>
      <w:marLeft w:val="0"/>
      <w:marRight w:val="0"/>
      <w:marTop w:val="0"/>
      <w:marBottom w:val="0"/>
      <w:divBdr>
        <w:top w:val="none" w:sz="0" w:space="0" w:color="auto"/>
        <w:left w:val="none" w:sz="0" w:space="0" w:color="auto"/>
        <w:bottom w:val="none" w:sz="0" w:space="0" w:color="auto"/>
        <w:right w:val="none" w:sz="0" w:space="0" w:color="auto"/>
      </w:divBdr>
    </w:div>
    <w:div w:id="1171721419">
      <w:bodyDiv w:val="1"/>
      <w:marLeft w:val="0"/>
      <w:marRight w:val="0"/>
      <w:marTop w:val="0"/>
      <w:marBottom w:val="0"/>
      <w:divBdr>
        <w:top w:val="none" w:sz="0" w:space="0" w:color="auto"/>
        <w:left w:val="none" w:sz="0" w:space="0" w:color="auto"/>
        <w:bottom w:val="none" w:sz="0" w:space="0" w:color="auto"/>
        <w:right w:val="none" w:sz="0" w:space="0" w:color="auto"/>
      </w:divBdr>
    </w:div>
    <w:div w:id="1173450846">
      <w:bodyDiv w:val="1"/>
      <w:marLeft w:val="0"/>
      <w:marRight w:val="0"/>
      <w:marTop w:val="0"/>
      <w:marBottom w:val="0"/>
      <w:divBdr>
        <w:top w:val="none" w:sz="0" w:space="0" w:color="auto"/>
        <w:left w:val="none" w:sz="0" w:space="0" w:color="auto"/>
        <w:bottom w:val="none" w:sz="0" w:space="0" w:color="auto"/>
        <w:right w:val="none" w:sz="0" w:space="0" w:color="auto"/>
      </w:divBdr>
    </w:div>
    <w:div w:id="1173834652">
      <w:bodyDiv w:val="1"/>
      <w:marLeft w:val="0"/>
      <w:marRight w:val="0"/>
      <w:marTop w:val="0"/>
      <w:marBottom w:val="0"/>
      <w:divBdr>
        <w:top w:val="none" w:sz="0" w:space="0" w:color="auto"/>
        <w:left w:val="none" w:sz="0" w:space="0" w:color="auto"/>
        <w:bottom w:val="none" w:sz="0" w:space="0" w:color="auto"/>
        <w:right w:val="none" w:sz="0" w:space="0" w:color="auto"/>
      </w:divBdr>
    </w:div>
    <w:div w:id="1210845710">
      <w:bodyDiv w:val="1"/>
      <w:marLeft w:val="0"/>
      <w:marRight w:val="0"/>
      <w:marTop w:val="0"/>
      <w:marBottom w:val="0"/>
      <w:divBdr>
        <w:top w:val="none" w:sz="0" w:space="0" w:color="auto"/>
        <w:left w:val="none" w:sz="0" w:space="0" w:color="auto"/>
        <w:bottom w:val="none" w:sz="0" w:space="0" w:color="auto"/>
        <w:right w:val="none" w:sz="0" w:space="0" w:color="auto"/>
      </w:divBdr>
    </w:div>
    <w:div w:id="1211264503">
      <w:bodyDiv w:val="1"/>
      <w:marLeft w:val="0"/>
      <w:marRight w:val="0"/>
      <w:marTop w:val="0"/>
      <w:marBottom w:val="0"/>
      <w:divBdr>
        <w:top w:val="none" w:sz="0" w:space="0" w:color="auto"/>
        <w:left w:val="none" w:sz="0" w:space="0" w:color="auto"/>
        <w:bottom w:val="none" w:sz="0" w:space="0" w:color="auto"/>
        <w:right w:val="none" w:sz="0" w:space="0" w:color="auto"/>
      </w:divBdr>
    </w:div>
    <w:div w:id="1211957602">
      <w:bodyDiv w:val="1"/>
      <w:marLeft w:val="0"/>
      <w:marRight w:val="0"/>
      <w:marTop w:val="0"/>
      <w:marBottom w:val="0"/>
      <w:divBdr>
        <w:top w:val="none" w:sz="0" w:space="0" w:color="auto"/>
        <w:left w:val="none" w:sz="0" w:space="0" w:color="auto"/>
        <w:bottom w:val="none" w:sz="0" w:space="0" w:color="auto"/>
        <w:right w:val="none" w:sz="0" w:space="0" w:color="auto"/>
      </w:divBdr>
    </w:div>
    <w:div w:id="1212499674">
      <w:bodyDiv w:val="1"/>
      <w:marLeft w:val="0"/>
      <w:marRight w:val="0"/>
      <w:marTop w:val="0"/>
      <w:marBottom w:val="0"/>
      <w:divBdr>
        <w:top w:val="none" w:sz="0" w:space="0" w:color="auto"/>
        <w:left w:val="none" w:sz="0" w:space="0" w:color="auto"/>
        <w:bottom w:val="none" w:sz="0" w:space="0" w:color="auto"/>
        <w:right w:val="none" w:sz="0" w:space="0" w:color="auto"/>
      </w:divBdr>
    </w:div>
    <w:div w:id="1224945109">
      <w:bodyDiv w:val="1"/>
      <w:marLeft w:val="0"/>
      <w:marRight w:val="0"/>
      <w:marTop w:val="0"/>
      <w:marBottom w:val="0"/>
      <w:divBdr>
        <w:top w:val="none" w:sz="0" w:space="0" w:color="auto"/>
        <w:left w:val="none" w:sz="0" w:space="0" w:color="auto"/>
        <w:bottom w:val="none" w:sz="0" w:space="0" w:color="auto"/>
        <w:right w:val="none" w:sz="0" w:space="0" w:color="auto"/>
      </w:divBdr>
    </w:div>
    <w:div w:id="1247032724">
      <w:bodyDiv w:val="1"/>
      <w:marLeft w:val="0"/>
      <w:marRight w:val="0"/>
      <w:marTop w:val="0"/>
      <w:marBottom w:val="0"/>
      <w:divBdr>
        <w:top w:val="none" w:sz="0" w:space="0" w:color="auto"/>
        <w:left w:val="none" w:sz="0" w:space="0" w:color="auto"/>
        <w:bottom w:val="none" w:sz="0" w:space="0" w:color="auto"/>
        <w:right w:val="none" w:sz="0" w:space="0" w:color="auto"/>
      </w:divBdr>
    </w:div>
    <w:div w:id="1273325410">
      <w:bodyDiv w:val="1"/>
      <w:marLeft w:val="0"/>
      <w:marRight w:val="0"/>
      <w:marTop w:val="0"/>
      <w:marBottom w:val="0"/>
      <w:divBdr>
        <w:top w:val="none" w:sz="0" w:space="0" w:color="auto"/>
        <w:left w:val="none" w:sz="0" w:space="0" w:color="auto"/>
        <w:bottom w:val="none" w:sz="0" w:space="0" w:color="auto"/>
        <w:right w:val="none" w:sz="0" w:space="0" w:color="auto"/>
      </w:divBdr>
    </w:div>
    <w:div w:id="1281840149">
      <w:bodyDiv w:val="1"/>
      <w:marLeft w:val="0"/>
      <w:marRight w:val="0"/>
      <w:marTop w:val="0"/>
      <w:marBottom w:val="0"/>
      <w:divBdr>
        <w:top w:val="none" w:sz="0" w:space="0" w:color="auto"/>
        <w:left w:val="none" w:sz="0" w:space="0" w:color="auto"/>
        <w:bottom w:val="none" w:sz="0" w:space="0" w:color="auto"/>
        <w:right w:val="none" w:sz="0" w:space="0" w:color="auto"/>
      </w:divBdr>
    </w:div>
    <w:div w:id="1286621175">
      <w:bodyDiv w:val="1"/>
      <w:marLeft w:val="0"/>
      <w:marRight w:val="0"/>
      <w:marTop w:val="0"/>
      <w:marBottom w:val="0"/>
      <w:divBdr>
        <w:top w:val="none" w:sz="0" w:space="0" w:color="auto"/>
        <w:left w:val="none" w:sz="0" w:space="0" w:color="auto"/>
        <w:bottom w:val="none" w:sz="0" w:space="0" w:color="auto"/>
        <w:right w:val="none" w:sz="0" w:space="0" w:color="auto"/>
      </w:divBdr>
    </w:div>
    <w:div w:id="1293099192">
      <w:bodyDiv w:val="1"/>
      <w:marLeft w:val="0"/>
      <w:marRight w:val="0"/>
      <w:marTop w:val="0"/>
      <w:marBottom w:val="0"/>
      <w:divBdr>
        <w:top w:val="none" w:sz="0" w:space="0" w:color="auto"/>
        <w:left w:val="none" w:sz="0" w:space="0" w:color="auto"/>
        <w:bottom w:val="none" w:sz="0" w:space="0" w:color="auto"/>
        <w:right w:val="none" w:sz="0" w:space="0" w:color="auto"/>
      </w:divBdr>
    </w:div>
    <w:div w:id="1316183073">
      <w:bodyDiv w:val="1"/>
      <w:marLeft w:val="0"/>
      <w:marRight w:val="0"/>
      <w:marTop w:val="0"/>
      <w:marBottom w:val="0"/>
      <w:divBdr>
        <w:top w:val="none" w:sz="0" w:space="0" w:color="auto"/>
        <w:left w:val="none" w:sz="0" w:space="0" w:color="auto"/>
        <w:bottom w:val="none" w:sz="0" w:space="0" w:color="auto"/>
        <w:right w:val="none" w:sz="0" w:space="0" w:color="auto"/>
      </w:divBdr>
    </w:div>
    <w:div w:id="1329137432">
      <w:bodyDiv w:val="1"/>
      <w:marLeft w:val="0"/>
      <w:marRight w:val="0"/>
      <w:marTop w:val="0"/>
      <w:marBottom w:val="0"/>
      <w:divBdr>
        <w:top w:val="none" w:sz="0" w:space="0" w:color="auto"/>
        <w:left w:val="none" w:sz="0" w:space="0" w:color="auto"/>
        <w:bottom w:val="none" w:sz="0" w:space="0" w:color="auto"/>
        <w:right w:val="none" w:sz="0" w:space="0" w:color="auto"/>
      </w:divBdr>
    </w:div>
    <w:div w:id="1340619918">
      <w:bodyDiv w:val="1"/>
      <w:marLeft w:val="0"/>
      <w:marRight w:val="0"/>
      <w:marTop w:val="0"/>
      <w:marBottom w:val="0"/>
      <w:divBdr>
        <w:top w:val="none" w:sz="0" w:space="0" w:color="auto"/>
        <w:left w:val="none" w:sz="0" w:space="0" w:color="auto"/>
        <w:bottom w:val="none" w:sz="0" w:space="0" w:color="auto"/>
        <w:right w:val="none" w:sz="0" w:space="0" w:color="auto"/>
      </w:divBdr>
    </w:div>
    <w:div w:id="1344893884">
      <w:bodyDiv w:val="1"/>
      <w:marLeft w:val="0"/>
      <w:marRight w:val="0"/>
      <w:marTop w:val="0"/>
      <w:marBottom w:val="0"/>
      <w:divBdr>
        <w:top w:val="none" w:sz="0" w:space="0" w:color="auto"/>
        <w:left w:val="none" w:sz="0" w:space="0" w:color="auto"/>
        <w:bottom w:val="none" w:sz="0" w:space="0" w:color="auto"/>
        <w:right w:val="none" w:sz="0" w:space="0" w:color="auto"/>
      </w:divBdr>
    </w:div>
    <w:div w:id="1351643242">
      <w:bodyDiv w:val="1"/>
      <w:marLeft w:val="0"/>
      <w:marRight w:val="0"/>
      <w:marTop w:val="0"/>
      <w:marBottom w:val="0"/>
      <w:divBdr>
        <w:top w:val="none" w:sz="0" w:space="0" w:color="auto"/>
        <w:left w:val="none" w:sz="0" w:space="0" w:color="auto"/>
        <w:bottom w:val="none" w:sz="0" w:space="0" w:color="auto"/>
        <w:right w:val="none" w:sz="0" w:space="0" w:color="auto"/>
      </w:divBdr>
    </w:div>
    <w:div w:id="1353074243">
      <w:bodyDiv w:val="1"/>
      <w:marLeft w:val="0"/>
      <w:marRight w:val="0"/>
      <w:marTop w:val="0"/>
      <w:marBottom w:val="0"/>
      <w:divBdr>
        <w:top w:val="none" w:sz="0" w:space="0" w:color="auto"/>
        <w:left w:val="none" w:sz="0" w:space="0" w:color="auto"/>
        <w:bottom w:val="none" w:sz="0" w:space="0" w:color="auto"/>
        <w:right w:val="none" w:sz="0" w:space="0" w:color="auto"/>
      </w:divBdr>
    </w:div>
    <w:div w:id="1386561741">
      <w:bodyDiv w:val="1"/>
      <w:marLeft w:val="0"/>
      <w:marRight w:val="0"/>
      <w:marTop w:val="0"/>
      <w:marBottom w:val="0"/>
      <w:divBdr>
        <w:top w:val="none" w:sz="0" w:space="0" w:color="auto"/>
        <w:left w:val="none" w:sz="0" w:space="0" w:color="auto"/>
        <w:bottom w:val="none" w:sz="0" w:space="0" w:color="auto"/>
        <w:right w:val="none" w:sz="0" w:space="0" w:color="auto"/>
      </w:divBdr>
    </w:div>
    <w:div w:id="1399666352">
      <w:bodyDiv w:val="1"/>
      <w:marLeft w:val="0"/>
      <w:marRight w:val="0"/>
      <w:marTop w:val="0"/>
      <w:marBottom w:val="0"/>
      <w:divBdr>
        <w:top w:val="none" w:sz="0" w:space="0" w:color="auto"/>
        <w:left w:val="none" w:sz="0" w:space="0" w:color="auto"/>
        <w:bottom w:val="none" w:sz="0" w:space="0" w:color="auto"/>
        <w:right w:val="none" w:sz="0" w:space="0" w:color="auto"/>
      </w:divBdr>
    </w:div>
    <w:div w:id="1420372620">
      <w:bodyDiv w:val="1"/>
      <w:marLeft w:val="0"/>
      <w:marRight w:val="0"/>
      <w:marTop w:val="0"/>
      <w:marBottom w:val="0"/>
      <w:divBdr>
        <w:top w:val="none" w:sz="0" w:space="0" w:color="auto"/>
        <w:left w:val="none" w:sz="0" w:space="0" w:color="auto"/>
        <w:bottom w:val="none" w:sz="0" w:space="0" w:color="auto"/>
        <w:right w:val="none" w:sz="0" w:space="0" w:color="auto"/>
      </w:divBdr>
    </w:div>
    <w:div w:id="1455824757">
      <w:bodyDiv w:val="1"/>
      <w:marLeft w:val="0"/>
      <w:marRight w:val="0"/>
      <w:marTop w:val="0"/>
      <w:marBottom w:val="0"/>
      <w:divBdr>
        <w:top w:val="none" w:sz="0" w:space="0" w:color="auto"/>
        <w:left w:val="none" w:sz="0" w:space="0" w:color="auto"/>
        <w:bottom w:val="none" w:sz="0" w:space="0" w:color="auto"/>
        <w:right w:val="none" w:sz="0" w:space="0" w:color="auto"/>
      </w:divBdr>
    </w:div>
    <w:div w:id="1461605448">
      <w:bodyDiv w:val="1"/>
      <w:marLeft w:val="0"/>
      <w:marRight w:val="0"/>
      <w:marTop w:val="0"/>
      <w:marBottom w:val="0"/>
      <w:divBdr>
        <w:top w:val="none" w:sz="0" w:space="0" w:color="auto"/>
        <w:left w:val="none" w:sz="0" w:space="0" w:color="auto"/>
        <w:bottom w:val="none" w:sz="0" w:space="0" w:color="auto"/>
        <w:right w:val="none" w:sz="0" w:space="0" w:color="auto"/>
      </w:divBdr>
    </w:div>
    <w:div w:id="1472553898">
      <w:bodyDiv w:val="1"/>
      <w:marLeft w:val="0"/>
      <w:marRight w:val="0"/>
      <w:marTop w:val="0"/>
      <w:marBottom w:val="0"/>
      <w:divBdr>
        <w:top w:val="none" w:sz="0" w:space="0" w:color="auto"/>
        <w:left w:val="none" w:sz="0" w:space="0" w:color="auto"/>
        <w:bottom w:val="none" w:sz="0" w:space="0" w:color="auto"/>
        <w:right w:val="none" w:sz="0" w:space="0" w:color="auto"/>
      </w:divBdr>
    </w:div>
    <w:div w:id="1519007142">
      <w:bodyDiv w:val="1"/>
      <w:marLeft w:val="0"/>
      <w:marRight w:val="0"/>
      <w:marTop w:val="0"/>
      <w:marBottom w:val="0"/>
      <w:divBdr>
        <w:top w:val="none" w:sz="0" w:space="0" w:color="auto"/>
        <w:left w:val="none" w:sz="0" w:space="0" w:color="auto"/>
        <w:bottom w:val="none" w:sz="0" w:space="0" w:color="auto"/>
        <w:right w:val="none" w:sz="0" w:space="0" w:color="auto"/>
      </w:divBdr>
    </w:div>
    <w:div w:id="1534070518">
      <w:bodyDiv w:val="1"/>
      <w:marLeft w:val="0"/>
      <w:marRight w:val="0"/>
      <w:marTop w:val="0"/>
      <w:marBottom w:val="0"/>
      <w:divBdr>
        <w:top w:val="none" w:sz="0" w:space="0" w:color="auto"/>
        <w:left w:val="none" w:sz="0" w:space="0" w:color="auto"/>
        <w:bottom w:val="none" w:sz="0" w:space="0" w:color="auto"/>
        <w:right w:val="none" w:sz="0" w:space="0" w:color="auto"/>
      </w:divBdr>
    </w:div>
    <w:div w:id="1544825896">
      <w:bodyDiv w:val="1"/>
      <w:marLeft w:val="0"/>
      <w:marRight w:val="0"/>
      <w:marTop w:val="0"/>
      <w:marBottom w:val="0"/>
      <w:divBdr>
        <w:top w:val="none" w:sz="0" w:space="0" w:color="auto"/>
        <w:left w:val="none" w:sz="0" w:space="0" w:color="auto"/>
        <w:bottom w:val="none" w:sz="0" w:space="0" w:color="auto"/>
        <w:right w:val="none" w:sz="0" w:space="0" w:color="auto"/>
      </w:divBdr>
    </w:div>
    <w:div w:id="1556428041">
      <w:bodyDiv w:val="1"/>
      <w:marLeft w:val="0"/>
      <w:marRight w:val="0"/>
      <w:marTop w:val="0"/>
      <w:marBottom w:val="0"/>
      <w:divBdr>
        <w:top w:val="none" w:sz="0" w:space="0" w:color="auto"/>
        <w:left w:val="none" w:sz="0" w:space="0" w:color="auto"/>
        <w:bottom w:val="none" w:sz="0" w:space="0" w:color="auto"/>
        <w:right w:val="none" w:sz="0" w:space="0" w:color="auto"/>
      </w:divBdr>
    </w:div>
    <w:div w:id="1566914520">
      <w:bodyDiv w:val="1"/>
      <w:marLeft w:val="0"/>
      <w:marRight w:val="0"/>
      <w:marTop w:val="0"/>
      <w:marBottom w:val="0"/>
      <w:divBdr>
        <w:top w:val="none" w:sz="0" w:space="0" w:color="auto"/>
        <w:left w:val="none" w:sz="0" w:space="0" w:color="auto"/>
        <w:bottom w:val="none" w:sz="0" w:space="0" w:color="auto"/>
        <w:right w:val="none" w:sz="0" w:space="0" w:color="auto"/>
      </w:divBdr>
    </w:div>
    <w:div w:id="1608581616">
      <w:bodyDiv w:val="1"/>
      <w:marLeft w:val="0"/>
      <w:marRight w:val="0"/>
      <w:marTop w:val="0"/>
      <w:marBottom w:val="0"/>
      <w:divBdr>
        <w:top w:val="none" w:sz="0" w:space="0" w:color="auto"/>
        <w:left w:val="none" w:sz="0" w:space="0" w:color="auto"/>
        <w:bottom w:val="none" w:sz="0" w:space="0" w:color="auto"/>
        <w:right w:val="none" w:sz="0" w:space="0" w:color="auto"/>
      </w:divBdr>
    </w:div>
    <w:div w:id="1621641679">
      <w:bodyDiv w:val="1"/>
      <w:marLeft w:val="0"/>
      <w:marRight w:val="0"/>
      <w:marTop w:val="0"/>
      <w:marBottom w:val="0"/>
      <w:divBdr>
        <w:top w:val="none" w:sz="0" w:space="0" w:color="auto"/>
        <w:left w:val="none" w:sz="0" w:space="0" w:color="auto"/>
        <w:bottom w:val="none" w:sz="0" w:space="0" w:color="auto"/>
        <w:right w:val="none" w:sz="0" w:space="0" w:color="auto"/>
      </w:divBdr>
    </w:div>
    <w:div w:id="1624464487">
      <w:bodyDiv w:val="1"/>
      <w:marLeft w:val="0"/>
      <w:marRight w:val="0"/>
      <w:marTop w:val="0"/>
      <w:marBottom w:val="0"/>
      <w:divBdr>
        <w:top w:val="none" w:sz="0" w:space="0" w:color="auto"/>
        <w:left w:val="none" w:sz="0" w:space="0" w:color="auto"/>
        <w:bottom w:val="none" w:sz="0" w:space="0" w:color="auto"/>
        <w:right w:val="none" w:sz="0" w:space="0" w:color="auto"/>
      </w:divBdr>
    </w:div>
    <w:div w:id="1650556093">
      <w:bodyDiv w:val="1"/>
      <w:marLeft w:val="0"/>
      <w:marRight w:val="0"/>
      <w:marTop w:val="0"/>
      <w:marBottom w:val="0"/>
      <w:divBdr>
        <w:top w:val="none" w:sz="0" w:space="0" w:color="auto"/>
        <w:left w:val="none" w:sz="0" w:space="0" w:color="auto"/>
        <w:bottom w:val="none" w:sz="0" w:space="0" w:color="auto"/>
        <w:right w:val="none" w:sz="0" w:space="0" w:color="auto"/>
      </w:divBdr>
    </w:div>
    <w:div w:id="1665544265">
      <w:bodyDiv w:val="1"/>
      <w:marLeft w:val="0"/>
      <w:marRight w:val="0"/>
      <w:marTop w:val="0"/>
      <w:marBottom w:val="0"/>
      <w:divBdr>
        <w:top w:val="none" w:sz="0" w:space="0" w:color="auto"/>
        <w:left w:val="none" w:sz="0" w:space="0" w:color="auto"/>
        <w:bottom w:val="none" w:sz="0" w:space="0" w:color="auto"/>
        <w:right w:val="none" w:sz="0" w:space="0" w:color="auto"/>
      </w:divBdr>
    </w:div>
    <w:div w:id="1674379650">
      <w:bodyDiv w:val="1"/>
      <w:marLeft w:val="0"/>
      <w:marRight w:val="0"/>
      <w:marTop w:val="0"/>
      <w:marBottom w:val="0"/>
      <w:divBdr>
        <w:top w:val="none" w:sz="0" w:space="0" w:color="auto"/>
        <w:left w:val="none" w:sz="0" w:space="0" w:color="auto"/>
        <w:bottom w:val="none" w:sz="0" w:space="0" w:color="auto"/>
        <w:right w:val="none" w:sz="0" w:space="0" w:color="auto"/>
      </w:divBdr>
    </w:div>
    <w:div w:id="1678771154">
      <w:bodyDiv w:val="1"/>
      <w:marLeft w:val="0"/>
      <w:marRight w:val="0"/>
      <w:marTop w:val="0"/>
      <w:marBottom w:val="0"/>
      <w:divBdr>
        <w:top w:val="none" w:sz="0" w:space="0" w:color="auto"/>
        <w:left w:val="none" w:sz="0" w:space="0" w:color="auto"/>
        <w:bottom w:val="none" w:sz="0" w:space="0" w:color="auto"/>
        <w:right w:val="none" w:sz="0" w:space="0" w:color="auto"/>
      </w:divBdr>
    </w:div>
    <w:div w:id="1684041892">
      <w:bodyDiv w:val="1"/>
      <w:marLeft w:val="0"/>
      <w:marRight w:val="0"/>
      <w:marTop w:val="0"/>
      <w:marBottom w:val="0"/>
      <w:divBdr>
        <w:top w:val="none" w:sz="0" w:space="0" w:color="auto"/>
        <w:left w:val="none" w:sz="0" w:space="0" w:color="auto"/>
        <w:bottom w:val="none" w:sz="0" w:space="0" w:color="auto"/>
        <w:right w:val="none" w:sz="0" w:space="0" w:color="auto"/>
      </w:divBdr>
    </w:div>
    <w:div w:id="1717241803">
      <w:bodyDiv w:val="1"/>
      <w:marLeft w:val="0"/>
      <w:marRight w:val="0"/>
      <w:marTop w:val="0"/>
      <w:marBottom w:val="0"/>
      <w:divBdr>
        <w:top w:val="none" w:sz="0" w:space="0" w:color="auto"/>
        <w:left w:val="none" w:sz="0" w:space="0" w:color="auto"/>
        <w:bottom w:val="none" w:sz="0" w:space="0" w:color="auto"/>
        <w:right w:val="none" w:sz="0" w:space="0" w:color="auto"/>
      </w:divBdr>
    </w:div>
    <w:div w:id="1724252660">
      <w:bodyDiv w:val="1"/>
      <w:marLeft w:val="0"/>
      <w:marRight w:val="0"/>
      <w:marTop w:val="0"/>
      <w:marBottom w:val="0"/>
      <w:divBdr>
        <w:top w:val="none" w:sz="0" w:space="0" w:color="auto"/>
        <w:left w:val="none" w:sz="0" w:space="0" w:color="auto"/>
        <w:bottom w:val="none" w:sz="0" w:space="0" w:color="auto"/>
        <w:right w:val="none" w:sz="0" w:space="0" w:color="auto"/>
      </w:divBdr>
    </w:div>
    <w:div w:id="1743405479">
      <w:bodyDiv w:val="1"/>
      <w:marLeft w:val="0"/>
      <w:marRight w:val="0"/>
      <w:marTop w:val="0"/>
      <w:marBottom w:val="0"/>
      <w:divBdr>
        <w:top w:val="none" w:sz="0" w:space="0" w:color="auto"/>
        <w:left w:val="none" w:sz="0" w:space="0" w:color="auto"/>
        <w:bottom w:val="none" w:sz="0" w:space="0" w:color="auto"/>
        <w:right w:val="none" w:sz="0" w:space="0" w:color="auto"/>
      </w:divBdr>
    </w:div>
    <w:div w:id="1758669801">
      <w:bodyDiv w:val="1"/>
      <w:marLeft w:val="0"/>
      <w:marRight w:val="0"/>
      <w:marTop w:val="0"/>
      <w:marBottom w:val="0"/>
      <w:divBdr>
        <w:top w:val="none" w:sz="0" w:space="0" w:color="auto"/>
        <w:left w:val="none" w:sz="0" w:space="0" w:color="auto"/>
        <w:bottom w:val="none" w:sz="0" w:space="0" w:color="auto"/>
        <w:right w:val="none" w:sz="0" w:space="0" w:color="auto"/>
      </w:divBdr>
    </w:div>
    <w:div w:id="1761874489">
      <w:bodyDiv w:val="1"/>
      <w:marLeft w:val="0"/>
      <w:marRight w:val="0"/>
      <w:marTop w:val="0"/>
      <w:marBottom w:val="0"/>
      <w:divBdr>
        <w:top w:val="none" w:sz="0" w:space="0" w:color="auto"/>
        <w:left w:val="none" w:sz="0" w:space="0" w:color="auto"/>
        <w:bottom w:val="none" w:sz="0" w:space="0" w:color="auto"/>
        <w:right w:val="none" w:sz="0" w:space="0" w:color="auto"/>
      </w:divBdr>
    </w:div>
    <w:div w:id="1764380345">
      <w:bodyDiv w:val="1"/>
      <w:marLeft w:val="0"/>
      <w:marRight w:val="0"/>
      <w:marTop w:val="0"/>
      <w:marBottom w:val="0"/>
      <w:divBdr>
        <w:top w:val="none" w:sz="0" w:space="0" w:color="auto"/>
        <w:left w:val="none" w:sz="0" w:space="0" w:color="auto"/>
        <w:bottom w:val="none" w:sz="0" w:space="0" w:color="auto"/>
        <w:right w:val="none" w:sz="0" w:space="0" w:color="auto"/>
      </w:divBdr>
    </w:div>
    <w:div w:id="1786002715">
      <w:bodyDiv w:val="1"/>
      <w:marLeft w:val="0"/>
      <w:marRight w:val="0"/>
      <w:marTop w:val="0"/>
      <w:marBottom w:val="0"/>
      <w:divBdr>
        <w:top w:val="none" w:sz="0" w:space="0" w:color="auto"/>
        <w:left w:val="none" w:sz="0" w:space="0" w:color="auto"/>
        <w:bottom w:val="none" w:sz="0" w:space="0" w:color="auto"/>
        <w:right w:val="none" w:sz="0" w:space="0" w:color="auto"/>
      </w:divBdr>
    </w:div>
    <w:div w:id="1786345248">
      <w:bodyDiv w:val="1"/>
      <w:marLeft w:val="0"/>
      <w:marRight w:val="0"/>
      <w:marTop w:val="0"/>
      <w:marBottom w:val="0"/>
      <w:divBdr>
        <w:top w:val="none" w:sz="0" w:space="0" w:color="auto"/>
        <w:left w:val="none" w:sz="0" w:space="0" w:color="auto"/>
        <w:bottom w:val="none" w:sz="0" w:space="0" w:color="auto"/>
        <w:right w:val="none" w:sz="0" w:space="0" w:color="auto"/>
      </w:divBdr>
    </w:div>
    <w:div w:id="1789740444">
      <w:bodyDiv w:val="1"/>
      <w:marLeft w:val="0"/>
      <w:marRight w:val="0"/>
      <w:marTop w:val="0"/>
      <w:marBottom w:val="0"/>
      <w:divBdr>
        <w:top w:val="none" w:sz="0" w:space="0" w:color="auto"/>
        <w:left w:val="none" w:sz="0" w:space="0" w:color="auto"/>
        <w:bottom w:val="none" w:sz="0" w:space="0" w:color="auto"/>
        <w:right w:val="none" w:sz="0" w:space="0" w:color="auto"/>
      </w:divBdr>
    </w:div>
    <w:div w:id="1792475268">
      <w:bodyDiv w:val="1"/>
      <w:marLeft w:val="0"/>
      <w:marRight w:val="0"/>
      <w:marTop w:val="0"/>
      <w:marBottom w:val="0"/>
      <w:divBdr>
        <w:top w:val="none" w:sz="0" w:space="0" w:color="auto"/>
        <w:left w:val="none" w:sz="0" w:space="0" w:color="auto"/>
        <w:bottom w:val="none" w:sz="0" w:space="0" w:color="auto"/>
        <w:right w:val="none" w:sz="0" w:space="0" w:color="auto"/>
      </w:divBdr>
    </w:div>
    <w:div w:id="1792820028">
      <w:bodyDiv w:val="1"/>
      <w:marLeft w:val="0"/>
      <w:marRight w:val="0"/>
      <w:marTop w:val="0"/>
      <w:marBottom w:val="0"/>
      <w:divBdr>
        <w:top w:val="none" w:sz="0" w:space="0" w:color="auto"/>
        <w:left w:val="none" w:sz="0" w:space="0" w:color="auto"/>
        <w:bottom w:val="none" w:sz="0" w:space="0" w:color="auto"/>
        <w:right w:val="none" w:sz="0" w:space="0" w:color="auto"/>
      </w:divBdr>
    </w:div>
    <w:div w:id="1804227037">
      <w:bodyDiv w:val="1"/>
      <w:marLeft w:val="0"/>
      <w:marRight w:val="0"/>
      <w:marTop w:val="0"/>
      <w:marBottom w:val="0"/>
      <w:divBdr>
        <w:top w:val="none" w:sz="0" w:space="0" w:color="auto"/>
        <w:left w:val="none" w:sz="0" w:space="0" w:color="auto"/>
        <w:bottom w:val="none" w:sz="0" w:space="0" w:color="auto"/>
        <w:right w:val="none" w:sz="0" w:space="0" w:color="auto"/>
      </w:divBdr>
    </w:div>
    <w:div w:id="1816146863">
      <w:bodyDiv w:val="1"/>
      <w:marLeft w:val="0"/>
      <w:marRight w:val="0"/>
      <w:marTop w:val="0"/>
      <w:marBottom w:val="0"/>
      <w:divBdr>
        <w:top w:val="none" w:sz="0" w:space="0" w:color="auto"/>
        <w:left w:val="none" w:sz="0" w:space="0" w:color="auto"/>
        <w:bottom w:val="none" w:sz="0" w:space="0" w:color="auto"/>
        <w:right w:val="none" w:sz="0" w:space="0" w:color="auto"/>
      </w:divBdr>
    </w:div>
    <w:div w:id="1828471521">
      <w:bodyDiv w:val="1"/>
      <w:marLeft w:val="0"/>
      <w:marRight w:val="0"/>
      <w:marTop w:val="0"/>
      <w:marBottom w:val="0"/>
      <w:divBdr>
        <w:top w:val="none" w:sz="0" w:space="0" w:color="auto"/>
        <w:left w:val="none" w:sz="0" w:space="0" w:color="auto"/>
        <w:bottom w:val="none" w:sz="0" w:space="0" w:color="auto"/>
        <w:right w:val="none" w:sz="0" w:space="0" w:color="auto"/>
      </w:divBdr>
    </w:div>
    <w:div w:id="1877042460">
      <w:bodyDiv w:val="1"/>
      <w:marLeft w:val="0"/>
      <w:marRight w:val="0"/>
      <w:marTop w:val="0"/>
      <w:marBottom w:val="0"/>
      <w:divBdr>
        <w:top w:val="none" w:sz="0" w:space="0" w:color="auto"/>
        <w:left w:val="none" w:sz="0" w:space="0" w:color="auto"/>
        <w:bottom w:val="none" w:sz="0" w:space="0" w:color="auto"/>
        <w:right w:val="none" w:sz="0" w:space="0" w:color="auto"/>
      </w:divBdr>
    </w:div>
    <w:div w:id="1877421582">
      <w:bodyDiv w:val="1"/>
      <w:marLeft w:val="0"/>
      <w:marRight w:val="0"/>
      <w:marTop w:val="0"/>
      <w:marBottom w:val="0"/>
      <w:divBdr>
        <w:top w:val="none" w:sz="0" w:space="0" w:color="auto"/>
        <w:left w:val="none" w:sz="0" w:space="0" w:color="auto"/>
        <w:bottom w:val="none" w:sz="0" w:space="0" w:color="auto"/>
        <w:right w:val="none" w:sz="0" w:space="0" w:color="auto"/>
      </w:divBdr>
    </w:div>
    <w:div w:id="1883864526">
      <w:bodyDiv w:val="1"/>
      <w:marLeft w:val="0"/>
      <w:marRight w:val="0"/>
      <w:marTop w:val="0"/>
      <w:marBottom w:val="0"/>
      <w:divBdr>
        <w:top w:val="none" w:sz="0" w:space="0" w:color="auto"/>
        <w:left w:val="none" w:sz="0" w:space="0" w:color="auto"/>
        <w:bottom w:val="none" w:sz="0" w:space="0" w:color="auto"/>
        <w:right w:val="none" w:sz="0" w:space="0" w:color="auto"/>
      </w:divBdr>
    </w:div>
    <w:div w:id="1895046958">
      <w:bodyDiv w:val="1"/>
      <w:marLeft w:val="0"/>
      <w:marRight w:val="0"/>
      <w:marTop w:val="0"/>
      <w:marBottom w:val="0"/>
      <w:divBdr>
        <w:top w:val="none" w:sz="0" w:space="0" w:color="auto"/>
        <w:left w:val="none" w:sz="0" w:space="0" w:color="auto"/>
        <w:bottom w:val="none" w:sz="0" w:space="0" w:color="auto"/>
        <w:right w:val="none" w:sz="0" w:space="0" w:color="auto"/>
      </w:divBdr>
    </w:div>
    <w:div w:id="1920096129">
      <w:bodyDiv w:val="1"/>
      <w:marLeft w:val="0"/>
      <w:marRight w:val="0"/>
      <w:marTop w:val="0"/>
      <w:marBottom w:val="0"/>
      <w:divBdr>
        <w:top w:val="none" w:sz="0" w:space="0" w:color="auto"/>
        <w:left w:val="none" w:sz="0" w:space="0" w:color="auto"/>
        <w:bottom w:val="none" w:sz="0" w:space="0" w:color="auto"/>
        <w:right w:val="none" w:sz="0" w:space="0" w:color="auto"/>
      </w:divBdr>
    </w:div>
    <w:div w:id="1951158726">
      <w:bodyDiv w:val="1"/>
      <w:marLeft w:val="0"/>
      <w:marRight w:val="0"/>
      <w:marTop w:val="0"/>
      <w:marBottom w:val="0"/>
      <w:divBdr>
        <w:top w:val="none" w:sz="0" w:space="0" w:color="auto"/>
        <w:left w:val="none" w:sz="0" w:space="0" w:color="auto"/>
        <w:bottom w:val="none" w:sz="0" w:space="0" w:color="auto"/>
        <w:right w:val="none" w:sz="0" w:space="0" w:color="auto"/>
      </w:divBdr>
    </w:div>
    <w:div w:id="1956406339">
      <w:bodyDiv w:val="1"/>
      <w:marLeft w:val="0"/>
      <w:marRight w:val="0"/>
      <w:marTop w:val="0"/>
      <w:marBottom w:val="0"/>
      <w:divBdr>
        <w:top w:val="none" w:sz="0" w:space="0" w:color="auto"/>
        <w:left w:val="none" w:sz="0" w:space="0" w:color="auto"/>
        <w:bottom w:val="none" w:sz="0" w:space="0" w:color="auto"/>
        <w:right w:val="none" w:sz="0" w:space="0" w:color="auto"/>
      </w:divBdr>
    </w:div>
    <w:div w:id="1968732360">
      <w:bodyDiv w:val="1"/>
      <w:marLeft w:val="0"/>
      <w:marRight w:val="0"/>
      <w:marTop w:val="0"/>
      <w:marBottom w:val="0"/>
      <w:divBdr>
        <w:top w:val="none" w:sz="0" w:space="0" w:color="auto"/>
        <w:left w:val="none" w:sz="0" w:space="0" w:color="auto"/>
        <w:bottom w:val="none" w:sz="0" w:space="0" w:color="auto"/>
        <w:right w:val="none" w:sz="0" w:space="0" w:color="auto"/>
      </w:divBdr>
    </w:div>
    <w:div w:id="1973630765">
      <w:bodyDiv w:val="1"/>
      <w:marLeft w:val="0"/>
      <w:marRight w:val="0"/>
      <w:marTop w:val="0"/>
      <w:marBottom w:val="0"/>
      <w:divBdr>
        <w:top w:val="none" w:sz="0" w:space="0" w:color="auto"/>
        <w:left w:val="none" w:sz="0" w:space="0" w:color="auto"/>
        <w:bottom w:val="none" w:sz="0" w:space="0" w:color="auto"/>
        <w:right w:val="none" w:sz="0" w:space="0" w:color="auto"/>
      </w:divBdr>
    </w:div>
    <w:div w:id="1986619243">
      <w:bodyDiv w:val="1"/>
      <w:marLeft w:val="0"/>
      <w:marRight w:val="0"/>
      <w:marTop w:val="0"/>
      <w:marBottom w:val="0"/>
      <w:divBdr>
        <w:top w:val="none" w:sz="0" w:space="0" w:color="auto"/>
        <w:left w:val="none" w:sz="0" w:space="0" w:color="auto"/>
        <w:bottom w:val="none" w:sz="0" w:space="0" w:color="auto"/>
        <w:right w:val="none" w:sz="0" w:space="0" w:color="auto"/>
      </w:divBdr>
    </w:div>
    <w:div w:id="1994873871">
      <w:bodyDiv w:val="1"/>
      <w:marLeft w:val="0"/>
      <w:marRight w:val="0"/>
      <w:marTop w:val="0"/>
      <w:marBottom w:val="0"/>
      <w:divBdr>
        <w:top w:val="none" w:sz="0" w:space="0" w:color="auto"/>
        <w:left w:val="none" w:sz="0" w:space="0" w:color="auto"/>
        <w:bottom w:val="none" w:sz="0" w:space="0" w:color="auto"/>
        <w:right w:val="none" w:sz="0" w:space="0" w:color="auto"/>
      </w:divBdr>
    </w:div>
    <w:div w:id="2029676265">
      <w:bodyDiv w:val="1"/>
      <w:marLeft w:val="0"/>
      <w:marRight w:val="0"/>
      <w:marTop w:val="0"/>
      <w:marBottom w:val="0"/>
      <w:divBdr>
        <w:top w:val="none" w:sz="0" w:space="0" w:color="auto"/>
        <w:left w:val="none" w:sz="0" w:space="0" w:color="auto"/>
        <w:bottom w:val="none" w:sz="0" w:space="0" w:color="auto"/>
        <w:right w:val="none" w:sz="0" w:space="0" w:color="auto"/>
      </w:divBdr>
    </w:div>
    <w:div w:id="2050260148">
      <w:bodyDiv w:val="1"/>
      <w:marLeft w:val="0"/>
      <w:marRight w:val="0"/>
      <w:marTop w:val="0"/>
      <w:marBottom w:val="0"/>
      <w:divBdr>
        <w:top w:val="none" w:sz="0" w:space="0" w:color="auto"/>
        <w:left w:val="none" w:sz="0" w:space="0" w:color="auto"/>
        <w:bottom w:val="none" w:sz="0" w:space="0" w:color="auto"/>
        <w:right w:val="none" w:sz="0" w:space="0" w:color="auto"/>
      </w:divBdr>
    </w:div>
    <w:div w:id="2051565130">
      <w:bodyDiv w:val="1"/>
      <w:marLeft w:val="0"/>
      <w:marRight w:val="0"/>
      <w:marTop w:val="0"/>
      <w:marBottom w:val="0"/>
      <w:divBdr>
        <w:top w:val="none" w:sz="0" w:space="0" w:color="auto"/>
        <w:left w:val="none" w:sz="0" w:space="0" w:color="auto"/>
        <w:bottom w:val="none" w:sz="0" w:space="0" w:color="auto"/>
        <w:right w:val="none" w:sz="0" w:space="0" w:color="auto"/>
      </w:divBdr>
    </w:div>
    <w:div w:id="2064984026">
      <w:bodyDiv w:val="1"/>
      <w:marLeft w:val="0"/>
      <w:marRight w:val="0"/>
      <w:marTop w:val="0"/>
      <w:marBottom w:val="0"/>
      <w:divBdr>
        <w:top w:val="none" w:sz="0" w:space="0" w:color="auto"/>
        <w:left w:val="none" w:sz="0" w:space="0" w:color="auto"/>
        <w:bottom w:val="none" w:sz="0" w:space="0" w:color="auto"/>
        <w:right w:val="none" w:sz="0" w:space="0" w:color="auto"/>
      </w:divBdr>
    </w:div>
    <w:div w:id="2085881160">
      <w:bodyDiv w:val="1"/>
      <w:marLeft w:val="0"/>
      <w:marRight w:val="0"/>
      <w:marTop w:val="0"/>
      <w:marBottom w:val="0"/>
      <w:divBdr>
        <w:top w:val="none" w:sz="0" w:space="0" w:color="auto"/>
        <w:left w:val="none" w:sz="0" w:space="0" w:color="auto"/>
        <w:bottom w:val="none" w:sz="0" w:space="0" w:color="auto"/>
        <w:right w:val="none" w:sz="0" w:space="0" w:color="auto"/>
      </w:divBdr>
    </w:div>
    <w:div w:id="2089424043">
      <w:bodyDiv w:val="1"/>
      <w:marLeft w:val="0"/>
      <w:marRight w:val="0"/>
      <w:marTop w:val="0"/>
      <w:marBottom w:val="0"/>
      <w:divBdr>
        <w:top w:val="none" w:sz="0" w:space="0" w:color="auto"/>
        <w:left w:val="none" w:sz="0" w:space="0" w:color="auto"/>
        <w:bottom w:val="none" w:sz="0" w:space="0" w:color="auto"/>
        <w:right w:val="none" w:sz="0" w:space="0" w:color="auto"/>
      </w:divBdr>
    </w:div>
    <w:div w:id="2104714859">
      <w:bodyDiv w:val="1"/>
      <w:marLeft w:val="0"/>
      <w:marRight w:val="0"/>
      <w:marTop w:val="0"/>
      <w:marBottom w:val="0"/>
      <w:divBdr>
        <w:top w:val="none" w:sz="0" w:space="0" w:color="auto"/>
        <w:left w:val="none" w:sz="0" w:space="0" w:color="auto"/>
        <w:bottom w:val="none" w:sz="0" w:space="0" w:color="auto"/>
        <w:right w:val="none" w:sz="0" w:space="0" w:color="auto"/>
      </w:divBdr>
    </w:div>
    <w:div w:id="2108890454">
      <w:bodyDiv w:val="1"/>
      <w:marLeft w:val="0"/>
      <w:marRight w:val="0"/>
      <w:marTop w:val="0"/>
      <w:marBottom w:val="0"/>
      <w:divBdr>
        <w:top w:val="none" w:sz="0" w:space="0" w:color="auto"/>
        <w:left w:val="none" w:sz="0" w:space="0" w:color="auto"/>
        <w:bottom w:val="none" w:sz="0" w:space="0" w:color="auto"/>
        <w:right w:val="none" w:sz="0" w:space="0" w:color="auto"/>
      </w:divBdr>
    </w:div>
    <w:div w:id="2113471123">
      <w:bodyDiv w:val="1"/>
      <w:marLeft w:val="0"/>
      <w:marRight w:val="0"/>
      <w:marTop w:val="0"/>
      <w:marBottom w:val="0"/>
      <w:divBdr>
        <w:top w:val="none" w:sz="0" w:space="0" w:color="auto"/>
        <w:left w:val="none" w:sz="0" w:space="0" w:color="auto"/>
        <w:bottom w:val="none" w:sz="0" w:space="0" w:color="auto"/>
        <w:right w:val="none" w:sz="0" w:space="0" w:color="auto"/>
      </w:divBdr>
      <w:divsChild>
        <w:div w:id="1254321880">
          <w:marLeft w:val="-108"/>
          <w:marRight w:val="0"/>
          <w:marTop w:val="0"/>
          <w:marBottom w:val="0"/>
          <w:divBdr>
            <w:top w:val="none" w:sz="0" w:space="0" w:color="auto"/>
            <w:left w:val="none" w:sz="0" w:space="0" w:color="auto"/>
            <w:bottom w:val="none" w:sz="0" w:space="0" w:color="auto"/>
            <w:right w:val="none" w:sz="0" w:space="0" w:color="auto"/>
          </w:divBdr>
        </w:div>
      </w:divsChild>
    </w:div>
    <w:div w:id="2116049329">
      <w:bodyDiv w:val="1"/>
      <w:marLeft w:val="0"/>
      <w:marRight w:val="0"/>
      <w:marTop w:val="0"/>
      <w:marBottom w:val="0"/>
      <w:divBdr>
        <w:top w:val="none" w:sz="0" w:space="0" w:color="auto"/>
        <w:left w:val="none" w:sz="0" w:space="0" w:color="auto"/>
        <w:bottom w:val="none" w:sz="0" w:space="0" w:color="auto"/>
        <w:right w:val="none" w:sz="0" w:space="0" w:color="auto"/>
      </w:divBdr>
    </w:div>
    <w:div w:id="2128575778">
      <w:bodyDiv w:val="1"/>
      <w:marLeft w:val="0"/>
      <w:marRight w:val="0"/>
      <w:marTop w:val="0"/>
      <w:marBottom w:val="0"/>
      <w:divBdr>
        <w:top w:val="none" w:sz="0" w:space="0" w:color="auto"/>
        <w:left w:val="none" w:sz="0" w:space="0" w:color="auto"/>
        <w:bottom w:val="none" w:sz="0" w:space="0" w:color="auto"/>
        <w:right w:val="none" w:sz="0" w:space="0" w:color="auto"/>
      </w:divBdr>
    </w:div>
    <w:div w:id="2144229690">
      <w:bodyDiv w:val="1"/>
      <w:marLeft w:val="0"/>
      <w:marRight w:val="0"/>
      <w:marTop w:val="0"/>
      <w:marBottom w:val="0"/>
      <w:divBdr>
        <w:top w:val="none" w:sz="0" w:space="0" w:color="auto"/>
        <w:left w:val="none" w:sz="0" w:space="0" w:color="auto"/>
        <w:bottom w:val="none" w:sz="0" w:space="0" w:color="auto"/>
        <w:right w:val="none" w:sz="0" w:space="0" w:color="auto"/>
      </w:divBdr>
    </w:div>
    <w:div w:id="21455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oleObject" Target="embeddings/Microsoft_Excel_Chart1.xls"/><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2" Type="http://schemas.openxmlformats.org/officeDocument/2006/relationships/oleObject" Target="file:///C:\Users\budzet12\Downloads\Book2%20(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budzet12\Downloads\Book2%20(3).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r-HR"/>
  <c:clrMapOvr bg1="lt1" tx1="dk1" bg2="lt2" tx2="dk2" accent1="accent1" accent2="accent2" accent3="accent3" accent4="accent4" accent5="accent5" accent6="accent6" hlink="hlink" folHlink="folHlink"/>
  <c:chart>
    <c:plotArea>
      <c:layout>
        <c:manualLayout>
          <c:layoutTarget val="inner"/>
          <c:xMode val="edge"/>
          <c:yMode val="edge"/>
          <c:x val="0.12418315519617577"/>
          <c:y val="0.14691943127963097"/>
          <c:w val="0.85751743453512375"/>
          <c:h val="0.47867298578201212"/>
        </c:manualLayout>
      </c:layout>
      <c:barChart>
        <c:barDir val="col"/>
        <c:grouping val="clustered"/>
        <c:ser>
          <c:idx val="0"/>
          <c:order val="0"/>
          <c:tx>
            <c:strRef>
              <c:f>'NEZAPOSLENOST NA P USK-a'!$B$3</c:f>
              <c:strCache>
                <c:ptCount val="1"/>
                <c:pt idx="0">
                  <c:v>ukupno/total</c:v>
                </c:pt>
              </c:strCache>
            </c:strRef>
          </c:tx>
          <c:spPr>
            <a:solidFill>
              <a:schemeClr val="accent2"/>
            </a:solidFill>
            <a:ln>
              <a:noFill/>
            </a:ln>
            <a:effectLst/>
          </c:spPr>
          <c:dLbls>
            <c:spPr>
              <a:noFill/>
              <a:ln w="25400">
                <a:noFill/>
              </a:ln>
              <a:effectLst/>
            </c:spPr>
            <c:txPr>
              <a:bodyPr rot="-5400000" spcFirstLastPara="1" vertOverflow="ellipsis" wrap="square" lIns="38100" tIns="19050" rIns="38100" bIns="19050" anchor="ctr" anchorCtr="1">
                <a:spAutoFit/>
              </a:bodyPr>
              <a:lstStyle/>
              <a:p>
                <a:pPr algn="ctr">
                  <a:defRPr lang="en-US" sz="1000" b="0" i="0" u="none" strike="noStrike" kern="1200" baseline="0">
                    <a:solidFill>
                      <a:srgbClr val="000000"/>
                    </a:solidFill>
                    <a:latin typeface="Calibri"/>
                    <a:ea typeface="Calibri"/>
                    <a:cs typeface="Calibri"/>
                  </a:defRPr>
                </a:pPr>
                <a:endParaRPr lang="sr-Latn-CS"/>
              </a:p>
            </c:txPr>
            <c:dLblPos val="outEnd"/>
            <c:showVal val="1"/>
            <c:extLst xmlns:c16r2="http://schemas.microsoft.com/office/drawing/2015/06/chart">
              <c:ext xmlns:c15="http://schemas.microsoft.com/office/drawing/2012/chart" uri="{CE6537A1-D6FC-4f65-9D91-7224C49458BB}">
                <c15:showLeaderLines val="0"/>
              </c:ext>
            </c:extLst>
          </c:dLbls>
          <c:cat>
            <c:strRef>
              <c:f>'NEZAPOSLENOST NA P USK-a'!$A$4:$A$12</c:f>
              <c:strCache>
                <c:ptCount val="9"/>
                <c:pt idx="0">
                  <c:v>BIHAĆ</c:v>
                </c:pt>
                <c:pt idx="1">
                  <c:v>B.KRUPA</c:v>
                </c:pt>
                <c:pt idx="2">
                  <c:v>B.PETROVAC</c:v>
                </c:pt>
                <c:pt idx="3">
                  <c:v>BUŽIM</c:v>
                </c:pt>
                <c:pt idx="4">
                  <c:v>CAZIN</c:v>
                </c:pt>
                <c:pt idx="5">
                  <c:v>KLJUČ</c:v>
                </c:pt>
                <c:pt idx="6">
                  <c:v>S.MOST</c:v>
                </c:pt>
                <c:pt idx="7">
                  <c:v>V.KLADUŠA</c:v>
                </c:pt>
                <c:pt idx="8">
                  <c:v>SVEGA</c:v>
                </c:pt>
              </c:strCache>
            </c:strRef>
          </c:cat>
          <c:val>
            <c:numRef>
              <c:f>'NEZAPOSLENOST NA P USK-a'!$B$4:$B$12</c:f>
              <c:numCache>
                <c:formatCode>0</c:formatCode>
                <c:ptCount val="9"/>
                <c:pt idx="0">
                  <c:v>7239</c:v>
                </c:pt>
                <c:pt idx="1">
                  <c:v>3415</c:v>
                </c:pt>
                <c:pt idx="2">
                  <c:v>838</c:v>
                </c:pt>
                <c:pt idx="3">
                  <c:v>3295</c:v>
                </c:pt>
                <c:pt idx="4">
                  <c:v>8054</c:v>
                </c:pt>
                <c:pt idx="5">
                  <c:v>1777</c:v>
                </c:pt>
                <c:pt idx="6">
                  <c:v>3200</c:v>
                </c:pt>
                <c:pt idx="7">
                  <c:v>5867</c:v>
                </c:pt>
                <c:pt idx="8">
                  <c:v>33685</c:v>
                </c:pt>
              </c:numCache>
            </c:numRef>
          </c:val>
          <c:extLst xmlns:c16r2="http://schemas.microsoft.com/office/drawing/2015/06/chart">
            <c:ext xmlns:c16="http://schemas.microsoft.com/office/drawing/2014/chart" uri="{C3380CC4-5D6E-409C-BE32-E72D297353CC}">
              <c16:uniqueId val="{00000000-52BE-4472-99B4-B069CB14EA15}"/>
            </c:ext>
          </c:extLst>
        </c:ser>
        <c:ser>
          <c:idx val="1"/>
          <c:order val="1"/>
          <c:tx>
            <c:strRef>
              <c:f>'NEZAPOSLENOST NA P USK-a'!$C$3</c:f>
              <c:strCache>
                <c:ptCount val="1"/>
                <c:pt idx="0">
                  <c:v>žene/women</c:v>
                </c:pt>
              </c:strCache>
            </c:strRef>
          </c:tx>
          <c:spPr>
            <a:solidFill>
              <a:schemeClr val="accent4"/>
            </a:solidFill>
            <a:ln>
              <a:noFill/>
            </a:ln>
            <a:effectLst/>
          </c:spPr>
          <c:dLbls>
            <c:spPr>
              <a:noFill/>
              <a:ln w="25400">
                <a:noFill/>
              </a:ln>
              <a:effectLst/>
            </c:spPr>
            <c:txPr>
              <a:bodyPr rot="-5400000" spcFirstLastPara="1" vertOverflow="ellipsis" wrap="square" lIns="38100" tIns="19050" rIns="38100" bIns="19050" anchor="ctr" anchorCtr="1">
                <a:spAutoFit/>
              </a:bodyPr>
              <a:lstStyle/>
              <a:p>
                <a:pPr algn="ctr">
                  <a:defRPr lang="en-US" sz="1000" b="0" i="0" u="none" strike="noStrike" kern="1200" baseline="0">
                    <a:solidFill>
                      <a:srgbClr val="000000"/>
                    </a:solidFill>
                    <a:latin typeface="Calibri"/>
                    <a:ea typeface="Calibri"/>
                    <a:cs typeface="Calibri"/>
                  </a:defRPr>
                </a:pPr>
                <a:endParaRPr lang="sr-Latn-CS"/>
              </a:p>
            </c:txPr>
            <c:dLblPos val="outEnd"/>
            <c:showVal val="1"/>
            <c:extLst xmlns:c16r2="http://schemas.microsoft.com/office/drawing/2015/06/chart">
              <c:ext xmlns:c15="http://schemas.microsoft.com/office/drawing/2012/chart" uri="{CE6537A1-D6FC-4f65-9D91-7224C49458BB}">
                <c15:showLeaderLines val="0"/>
              </c:ext>
            </c:extLst>
          </c:dLbls>
          <c:cat>
            <c:strRef>
              <c:f>'NEZAPOSLENOST NA P USK-a'!$A$4:$A$12</c:f>
              <c:strCache>
                <c:ptCount val="9"/>
                <c:pt idx="0">
                  <c:v>BIHAĆ</c:v>
                </c:pt>
                <c:pt idx="1">
                  <c:v>B.KRUPA</c:v>
                </c:pt>
                <c:pt idx="2">
                  <c:v>B.PETROVAC</c:v>
                </c:pt>
                <c:pt idx="3">
                  <c:v>BUŽIM</c:v>
                </c:pt>
                <c:pt idx="4">
                  <c:v>CAZIN</c:v>
                </c:pt>
                <c:pt idx="5">
                  <c:v>KLJUČ</c:v>
                </c:pt>
                <c:pt idx="6">
                  <c:v>S.MOST</c:v>
                </c:pt>
                <c:pt idx="7">
                  <c:v>V.KLADUŠA</c:v>
                </c:pt>
                <c:pt idx="8">
                  <c:v>SVEGA</c:v>
                </c:pt>
              </c:strCache>
            </c:strRef>
          </c:cat>
          <c:val>
            <c:numRef>
              <c:f>'NEZAPOSLENOST NA P USK-a'!$C$4:$C$12</c:f>
              <c:numCache>
                <c:formatCode>0</c:formatCode>
                <c:ptCount val="9"/>
                <c:pt idx="0">
                  <c:v>4122</c:v>
                </c:pt>
                <c:pt idx="1">
                  <c:v>1919</c:v>
                </c:pt>
                <c:pt idx="2">
                  <c:v>437</c:v>
                </c:pt>
                <c:pt idx="3">
                  <c:v>1936</c:v>
                </c:pt>
                <c:pt idx="4">
                  <c:v>4294</c:v>
                </c:pt>
                <c:pt idx="5">
                  <c:v>919</c:v>
                </c:pt>
                <c:pt idx="6">
                  <c:v>1649</c:v>
                </c:pt>
                <c:pt idx="7">
                  <c:v>3409</c:v>
                </c:pt>
                <c:pt idx="8">
                  <c:v>18685</c:v>
                </c:pt>
              </c:numCache>
            </c:numRef>
          </c:val>
          <c:extLst xmlns:c16r2="http://schemas.microsoft.com/office/drawing/2015/06/chart">
            <c:ext xmlns:c16="http://schemas.microsoft.com/office/drawing/2014/chart" uri="{C3380CC4-5D6E-409C-BE32-E72D297353CC}">
              <c16:uniqueId val="{00000001-52BE-4472-99B4-B069CB14EA15}"/>
            </c:ext>
          </c:extLst>
        </c:ser>
        <c:axId val="49824896"/>
        <c:axId val="49826432"/>
      </c:barChart>
      <c:catAx>
        <c:axId val="49824896"/>
        <c:scaling>
          <c:orientation val="minMax"/>
        </c:scaling>
        <c:axPos val="b"/>
        <c:majorGridlines>
          <c:spPr>
            <a:ln w="9525" cap="flat" cmpd="sng" algn="ctr">
              <a:solidFill>
                <a:schemeClr val="tx1">
                  <a:tint val="75000"/>
                  <a:shade val="95000"/>
                  <a:satMod val="105000"/>
                </a:schemeClr>
              </a:solidFill>
              <a:prstDash val="solid"/>
              <a:round/>
            </a:ln>
            <a:effectLst/>
          </c:spPr>
        </c:majorGridlines>
        <c:numFmt formatCode="General" sourceLinked="1"/>
        <c:tickLblPos val="nextTo"/>
        <c:spPr>
          <a:noFill/>
          <a:ln w="9525" cap="flat" cmpd="sng" algn="ctr">
            <a:solidFill>
              <a:schemeClr val="tx1">
                <a:tint val="75000"/>
                <a:shade val="95000"/>
                <a:satMod val="105000"/>
              </a:schemeClr>
            </a:solidFill>
            <a:prstDash val="solid"/>
            <a:round/>
          </a:ln>
          <a:effectLst/>
        </c:spPr>
        <c:txPr>
          <a:bodyPr rot="-2700000" spcFirstLastPara="1" vertOverflow="ellipsis" wrap="square" anchor="ctr" anchorCtr="1"/>
          <a:lstStyle/>
          <a:p>
            <a:pPr>
              <a:defRPr lang="en-US" sz="1000" b="0" i="0" u="none" strike="noStrike" kern="1200" baseline="0">
                <a:solidFill>
                  <a:srgbClr val="000000"/>
                </a:solidFill>
                <a:latin typeface="Calibri"/>
                <a:ea typeface="Calibri"/>
                <a:cs typeface="Calibri"/>
              </a:defRPr>
            </a:pPr>
            <a:endParaRPr lang="sr-Latn-CS"/>
          </a:p>
        </c:txPr>
        <c:crossAx val="49826432"/>
        <c:crosses val="autoZero"/>
        <c:auto val="1"/>
        <c:lblAlgn val="ctr"/>
        <c:lblOffset val="100"/>
        <c:tickLblSkip val="1"/>
        <c:tickMarkSkip val="1"/>
      </c:catAx>
      <c:valAx>
        <c:axId val="49826432"/>
        <c:scaling>
          <c:orientation val="minMax"/>
        </c:scaling>
        <c:axPos val="l"/>
        <c:majorGridlines>
          <c:spPr>
            <a:ln w="9525" cap="flat" cmpd="sng" algn="ctr">
              <a:solidFill>
                <a:schemeClr val="tx1">
                  <a:tint val="75000"/>
                  <a:shade val="95000"/>
                  <a:satMod val="105000"/>
                </a:schemeClr>
              </a:solidFill>
              <a:prstDash val="solid"/>
              <a:round/>
            </a:ln>
            <a:effectLst/>
          </c:spPr>
        </c:majorGridlines>
        <c:numFmt formatCode="0" sourceLinked="1"/>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lang="en-US" sz="1000" b="0" i="0" u="none" strike="noStrike" kern="1200" baseline="0">
                <a:solidFill>
                  <a:srgbClr val="000000"/>
                </a:solidFill>
                <a:latin typeface="Calibri"/>
                <a:ea typeface="Calibri"/>
                <a:cs typeface="Calibri"/>
              </a:defRPr>
            </a:pPr>
            <a:endParaRPr lang="sr-Latn-CS"/>
          </a:p>
        </c:txPr>
        <c:crossAx val="49824896"/>
        <c:crosses val="autoZero"/>
        <c:crossBetween val="between"/>
      </c:valAx>
      <c:spPr>
        <a:solidFill>
          <a:schemeClr val="bg1"/>
        </a:solidFill>
        <a:ln>
          <a:noFill/>
        </a:ln>
        <a:effectLst/>
      </c:spPr>
    </c:plotArea>
    <c:legend>
      <c:legendPos val="r"/>
      <c:layout>
        <c:manualLayout>
          <c:xMode val="edge"/>
          <c:yMode val="edge"/>
          <c:x val="0.46144437073570932"/>
          <c:y val="1.8957345971563982E-2"/>
          <c:w val="0.17625463483731202"/>
          <c:h val="9.9526066350710984E-2"/>
        </c:manualLayout>
      </c:layout>
      <c:spPr>
        <a:noFill/>
        <a:ln>
          <a:noFill/>
        </a:ln>
        <a:effectLst/>
      </c:spPr>
      <c:txPr>
        <a:bodyPr rot="0" spcFirstLastPara="1" vertOverflow="ellipsis" vert="horz" wrap="square" anchor="ctr" anchorCtr="1"/>
        <a:lstStyle/>
        <a:p>
          <a:pPr>
            <a:defRPr lang="en-US" sz="710" b="0" i="0" u="none" strike="noStrike" kern="1200" baseline="0">
              <a:solidFill>
                <a:srgbClr val="000000"/>
              </a:solidFill>
              <a:latin typeface="Calibri"/>
              <a:ea typeface="Calibri"/>
              <a:cs typeface="Calibri"/>
            </a:defRPr>
          </a:pPr>
          <a:endParaRPr lang="sr-Latn-CS"/>
        </a:p>
      </c:txPr>
    </c:legend>
    <c:plotVisOnly val="1"/>
    <c:dispBlanksAs val="gap"/>
  </c:chart>
  <c:spPr>
    <a:solidFill>
      <a:schemeClr val="bg1"/>
    </a:solidFill>
    <a:ln w="6350" cap="flat" cmpd="sng" algn="ctr">
      <a:solidFill>
        <a:schemeClr val="tx1">
          <a:tint val="75000"/>
        </a:schemeClr>
      </a:solidFill>
      <a:prstDash val="solid"/>
      <a:round/>
    </a:ln>
    <a:effectLst/>
  </c:spPr>
  <c:txPr>
    <a:bodyPr/>
    <a:lstStyle/>
    <a:p>
      <a:pPr>
        <a:defRPr sz="1000" b="0" i="0" u="none" strike="noStrike" baseline="0">
          <a:solidFill>
            <a:srgbClr val="000000"/>
          </a:solidFill>
          <a:latin typeface="Calibri"/>
          <a:ea typeface="Calibri"/>
          <a:cs typeface="Calibri"/>
        </a:defRPr>
      </a:pPr>
      <a:endParaRPr lang="sr-Latn-C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r-HR"/>
  <c:clrMapOvr bg1="lt1" tx1="dk1" bg2="lt2" tx2="dk2" accent1="accent1" accent2="accent2" accent3="accent3" accent4="accent4" accent5="accent5" accent6="accent6" hlink="hlink" folHlink="folHlink"/>
  <c:chart>
    <c:autoTitleDeleted val="1"/>
    <c:view3D>
      <c:perspective val="0"/>
    </c:view3D>
    <c:floor>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spPr>
        <a:noFill/>
        <a:ln>
          <a:noFill/>
        </a:ln>
        <a:effectLst/>
        <a:sp3d/>
      </c:spPr>
    </c:sideWall>
    <c:backWall>
      <c:spPr>
        <a:noFill/>
        <a:ln>
          <a:noFill/>
        </a:ln>
        <a:effectLst/>
        <a:sp3d/>
      </c:spPr>
    </c:backWall>
    <c:plotArea>
      <c:layout>
        <c:manualLayout>
          <c:layoutTarget val="inner"/>
          <c:xMode val="edge"/>
          <c:yMode val="edge"/>
          <c:x val="0.2861447887336373"/>
          <c:y val="0.3467751038912969"/>
          <c:w val="0.42921718310047396"/>
          <c:h val="0.30645241739233103"/>
        </c:manualLayout>
      </c:layout>
      <c:pie3DChart>
        <c:varyColors val="1"/>
        <c:ser>
          <c:idx val="0"/>
          <c:order val="0"/>
          <c:tx>
            <c:strRef>
              <c:f>'NEZAPOSLENOST NA P USK-a'!$B$3</c:f>
              <c:strCache>
                <c:ptCount val="1"/>
                <c:pt idx="0">
                  <c:v>ukupno/total</c:v>
                </c:pt>
              </c:strCache>
            </c:strRef>
          </c:tx>
          <c:explosion val="25"/>
          <c:dPt>
            <c:idx val="0"/>
            <c:spPr>
              <a:solidFill>
                <a:schemeClr val="accent2"/>
              </a:solidFill>
              <a:ln>
                <a:noFill/>
              </a:ln>
              <a:effectLst/>
              <a:sp3d/>
            </c:spPr>
            <c:extLst xmlns:c16r2="http://schemas.microsoft.com/office/drawing/2015/06/chart">
              <c:ext xmlns:c16="http://schemas.microsoft.com/office/drawing/2014/chart" uri="{C3380CC4-5D6E-409C-BE32-E72D297353CC}">
                <c16:uniqueId val="{00000001-BED8-476A-812E-8D10705BC86E}"/>
              </c:ext>
            </c:extLst>
          </c:dPt>
          <c:dPt>
            <c:idx val="1"/>
            <c:spPr>
              <a:solidFill>
                <a:schemeClr val="accent4"/>
              </a:solidFill>
              <a:ln>
                <a:noFill/>
              </a:ln>
              <a:effectLst/>
              <a:sp3d/>
            </c:spPr>
            <c:extLst xmlns:c16r2="http://schemas.microsoft.com/office/drawing/2015/06/chart">
              <c:ext xmlns:c16="http://schemas.microsoft.com/office/drawing/2014/chart" uri="{C3380CC4-5D6E-409C-BE32-E72D297353CC}">
                <c16:uniqueId val="{00000003-BED8-476A-812E-8D10705BC86E}"/>
              </c:ext>
            </c:extLst>
          </c:dPt>
          <c:dPt>
            <c:idx val="2"/>
            <c:spPr>
              <a:solidFill>
                <a:schemeClr val="accent6"/>
              </a:solidFill>
              <a:ln>
                <a:noFill/>
              </a:ln>
              <a:effectLst/>
              <a:sp3d/>
            </c:spPr>
            <c:extLst xmlns:c16r2="http://schemas.microsoft.com/office/drawing/2015/06/chart">
              <c:ext xmlns:c16="http://schemas.microsoft.com/office/drawing/2014/chart" uri="{C3380CC4-5D6E-409C-BE32-E72D297353CC}">
                <c16:uniqueId val="{00000005-BED8-476A-812E-8D10705BC86E}"/>
              </c:ext>
            </c:extLst>
          </c:dPt>
          <c:dPt>
            <c:idx val="3"/>
            <c:spPr>
              <a:solidFill>
                <a:schemeClr val="accent2">
                  <a:lumMod val="60000"/>
                </a:schemeClr>
              </a:solidFill>
              <a:ln>
                <a:noFill/>
              </a:ln>
              <a:effectLst/>
              <a:sp3d/>
            </c:spPr>
            <c:extLst xmlns:c16r2="http://schemas.microsoft.com/office/drawing/2015/06/chart">
              <c:ext xmlns:c16="http://schemas.microsoft.com/office/drawing/2014/chart" uri="{C3380CC4-5D6E-409C-BE32-E72D297353CC}">
                <c16:uniqueId val="{00000007-BED8-476A-812E-8D10705BC86E}"/>
              </c:ext>
            </c:extLst>
          </c:dPt>
          <c:dPt>
            <c:idx val="4"/>
            <c:spPr>
              <a:solidFill>
                <a:schemeClr val="accent4">
                  <a:lumMod val="60000"/>
                </a:schemeClr>
              </a:solidFill>
              <a:ln>
                <a:noFill/>
              </a:ln>
              <a:effectLst/>
              <a:sp3d/>
            </c:spPr>
            <c:extLst xmlns:c16r2="http://schemas.microsoft.com/office/drawing/2015/06/chart">
              <c:ext xmlns:c16="http://schemas.microsoft.com/office/drawing/2014/chart" uri="{C3380CC4-5D6E-409C-BE32-E72D297353CC}">
                <c16:uniqueId val="{00000009-BED8-476A-812E-8D10705BC86E}"/>
              </c:ext>
            </c:extLst>
          </c:dPt>
          <c:dPt>
            <c:idx val="5"/>
            <c:spPr>
              <a:solidFill>
                <a:schemeClr val="accent6">
                  <a:lumMod val="60000"/>
                </a:schemeClr>
              </a:solidFill>
              <a:ln>
                <a:noFill/>
              </a:ln>
              <a:effectLst/>
              <a:sp3d/>
            </c:spPr>
            <c:extLst xmlns:c16r2="http://schemas.microsoft.com/office/drawing/2015/06/chart">
              <c:ext xmlns:c16="http://schemas.microsoft.com/office/drawing/2014/chart" uri="{C3380CC4-5D6E-409C-BE32-E72D297353CC}">
                <c16:uniqueId val="{0000000B-BED8-476A-812E-8D10705BC86E}"/>
              </c:ext>
            </c:extLst>
          </c:dPt>
          <c:dPt>
            <c:idx val="6"/>
            <c:spPr>
              <a:solidFill>
                <a:schemeClr val="accent2">
                  <a:lumMod val="80000"/>
                  <a:lumOff val="20000"/>
                </a:schemeClr>
              </a:solidFill>
              <a:ln>
                <a:noFill/>
              </a:ln>
              <a:effectLst/>
              <a:sp3d/>
            </c:spPr>
            <c:extLst xmlns:c16r2="http://schemas.microsoft.com/office/drawing/2015/06/chart">
              <c:ext xmlns:c16="http://schemas.microsoft.com/office/drawing/2014/chart" uri="{C3380CC4-5D6E-409C-BE32-E72D297353CC}">
                <c16:uniqueId val="{0000000D-BED8-476A-812E-8D10705BC86E}"/>
              </c:ext>
            </c:extLst>
          </c:dPt>
          <c:dPt>
            <c:idx val="7"/>
            <c:spPr>
              <a:solidFill>
                <a:schemeClr val="accent4">
                  <a:lumMod val="80000"/>
                  <a:lumOff val="20000"/>
                </a:schemeClr>
              </a:solidFill>
              <a:ln>
                <a:noFill/>
              </a:ln>
              <a:effectLst/>
              <a:sp3d/>
            </c:spPr>
            <c:extLst xmlns:c16r2="http://schemas.microsoft.com/office/drawing/2015/06/chart">
              <c:ext xmlns:c16="http://schemas.microsoft.com/office/drawing/2014/chart" uri="{C3380CC4-5D6E-409C-BE32-E72D297353CC}">
                <c16:uniqueId val="{0000000F-BED8-476A-812E-8D10705BC86E}"/>
              </c:ext>
            </c:extLst>
          </c:dPt>
          <c:dLbls>
            <c:dLbl>
              <c:idx val="0"/>
              <c:layout>
                <c:manualLayout>
                  <c:x val="-4.5560193530025737E-2"/>
                  <c:y val="-0.17953066350577146"/>
                </c:manualLayout>
              </c:layout>
              <c:numFmt formatCode="0.00%" sourceLinked="0"/>
              <c:spPr>
                <a:noFill/>
                <a:ln>
                  <a:noFill/>
                </a:ln>
                <a:effectLst/>
              </c:spPr>
              <c:txPr>
                <a:bodyPr rot="0" spcFirstLastPara="1" vertOverflow="ellipsis" vert="horz" wrap="square" anchor="ctr" anchorCtr="1"/>
                <a:lstStyle/>
                <a:p>
                  <a:pPr>
                    <a:defRPr lang="en-US" sz="1000" b="0" i="0" u="none" strike="noStrike" kern="1200" baseline="0">
                      <a:solidFill>
                        <a:srgbClr val="000000"/>
                      </a:solidFill>
                      <a:latin typeface="Calibri"/>
                      <a:ea typeface="Calibri"/>
                      <a:cs typeface="Calibri"/>
                    </a:defRPr>
                  </a:pPr>
                  <a:endParaRPr lang="sr-Latn-CS"/>
                </a:p>
              </c:txPr>
              <c:dLblPos val="bestFit"/>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ED8-476A-812E-8D10705BC86E}"/>
                </c:ext>
              </c:extLst>
            </c:dLbl>
            <c:dLbl>
              <c:idx val="1"/>
              <c:layout>
                <c:manualLayout>
                  <c:x val="-3.2186587896385641E-4"/>
                  <c:y val="-0.14088277154367787"/>
                </c:manualLayout>
              </c:layout>
              <c:numFmt formatCode="0.00%" sourceLinked="0"/>
              <c:spPr>
                <a:noFill/>
                <a:ln>
                  <a:noFill/>
                </a:ln>
                <a:effectLst/>
              </c:spPr>
              <c:txPr>
                <a:bodyPr rot="0" spcFirstLastPara="1" vertOverflow="ellipsis" vert="horz" wrap="square" anchor="ctr" anchorCtr="1"/>
                <a:lstStyle/>
                <a:p>
                  <a:pPr>
                    <a:defRPr lang="en-US" sz="1000" b="0" i="0" u="none" strike="noStrike" kern="1200" baseline="0">
                      <a:solidFill>
                        <a:srgbClr val="000000"/>
                      </a:solidFill>
                      <a:latin typeface="Calibri"/>
                      <a:ea typeface="Calibri"/>
                      <a:cs typeface="Calibri"/>
                    </a:defRPr>
                  </a:pPr>
                  <a:endParaRPr lang="sr-Latn-CS"/>
                </a:p>
              </c:txPr>
              <c:dLblPos val="bestFit"/>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ED8-476A-812E-8D10705BC86E}"/>
                </c:ext>
              </c:extLst>
            </c:dLbl>
            <c:dLbl>
              <c:idx val="2"/>
              <c:layout>
                <c:manualLayout>
                  <c:x val="6.1638916004450005E-2"/>
                  <c:y val="0.11096007990322075"/>
                </c:manualLayout>
              </c:layout>
              <c:numFmt formatCode="0.00%" sourceLinked="0"/>
              <c:spPr>
                <a:noFill/>
                <a:ln>
                  <a:noFill/>
                </a:ln>
                <a:effectLst/>
              </c:spPr>
              <c:txPr>
                <a:bodyPr rot="0" spcFirstLastPara="1" vertOverflow="ellipsis" vert="horz" wrap="square" anchor="ctr" anchorCtr="1"/>
                <a:lstStyle/>
                <a:p>
                  <a:pPr>
                    <a:defRPr lang="en-US" sz="1000" b="0" i="0" u="none" strike="noStrike" kern="1200" baseline="0">
                      <a:solidFill>
                        <a:srgbClr val="000000"/>
                      </a:solidFill>
                      <a:latin typeface="Calibri"/>
                      <a:ea typeface="Calibri"/>
                      <a:cs typeface="Calibri"/>
                    </a:defRPr>
                  </a:pPr>
                  <a:endParaRPr lang="sr-Latn-CS"/>
                </a:p>
              </c:txPr>
              <c:dLblPos val="bestFit"/>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ED8-476A-812E-8D10705BC86E}"/>
                </c:ext>
              </c:extLst>
            </c:dLbl>
            <c:dLbl>
              <c:idx val="3"/>
              <c:layout>
                <c:manualLayout>
                  <c:x val="-0.11005889470348038"/>
                  <c:y val="0.17937199116595995"/>
                </c:manualLayout>
              </c:layout>
              <c:numFmt formatCode="0.00%" sourceLinked="0"/>
              <c:spPr>
                <a:noFill/>
                <a:ln>
                  <a:noFill/>
                </a:ln>
                <a:effectLst/>
              </c:spPr>
              <c:txPr>
                <a:bodyPr rot="0" spcFirstLastPara="1" vertOverflow="ellipsis" vert="horz" wrap="square" anchor="ctr" anchorCtr="1"/>
                <a:lstStyle/>
                <a:p>
                  <a:pPr>
                    <a:defRPr lang="en-US" sz="1000" b="0" i="0" u="none" strike="noStrike" kern="1200" baseline="0">
                      <a:solidFill>
                        <a:srgbClr val="000000"/>
                      </a:solidFill>
                      <a:latin typeface="Calibri"/>
                      <a:ea typeface="Calibri"/>
                      <a:cs typeface="Calibri"/>
                    </a:defRPr>
                  </a:pPr>
                  <a:endParaRPr lang="sr-Latn-CS"/>
                </a:p>
              </c:txPr>
              <c:dLblPos val="bestFit"/>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ED8-476A-812E-8D10705BC86E}"/>
                </c:ext>
              </c:extLst>
            </c:dLbl>
            <c:dLbl>
              <c:idx val="4"/>
              <c:layout>
                <c:manualLayout>
                  <c:x val="-9.2045188628529881E-2"/>
                  <c:y val="9.1207349081364797E-2"/>
                </c:manualLayout>
              </c:layout>
              <c:numFmt formatCode="0.00%" sourceLinked="0"/>
              <c:spPr>
                <a:noFill/>
                <a:ln>
                  <a:noFill/>
                </a:ln>
                <a:effectLst/>
              </c:spPr>
              <c:txPr>
                <a:bodyPr rot="0" spcFirstLastPara="1" vertOverflow="ellipsis" vert="horz" wrap="square" anchor="ctr" anchorCtr="1"/>
                <a:lstStyle/>
                <a:p>
                  <a:pPr>
                    <a:defRPr lang="en-US" sz="1000" b="0" i="0" u="none" strike="noStrike" kern="1200" baseline="0">
                      <a:solidFill>
                        <a:srgbClr val="000000"/>
                      </a:solidFill>
                      <a:latin typeface="Calibri"/>
                      <a:ea typeface="Calibri"/>
                      <a:cs typeface="Calibri"/>
                    </a:defRPr>
                  </a:pPr>
                  <a:endParaRPr lang="sr-Latn-CS"/>
                </a:p>
              </c:txPr>
              <c:dLblPos val="bestFit"/>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ED8-476A-812E-8D10705BC86E}"/>
                </c:ext>
              </c:extLst>
            </c:dLbl>
            <c:dLbl>
              <c:idx val="5"/>
              <c:layout>
                <c:manualLayout>
                  <c:x val="-9.0130509224252822E-2"/>
                  <c:y val="6.6239755600843955E-2"/>
                </c:manualLayout>
              </c:layout>
              <c:numFmt formatCode="0.00%" sourceLinked="0"/>
              <c:spPr>
                <a:noFill/>
                <a:ln>
                  <a:noFill/>
                </a:ln>
                <a:effectLst/>
              </c:spPr>
              <c:txPr>
                <a:bodyPr rot="0" spcFirstLastPara="1" vertOverflow="ellipsis" vert="horz" wrap="square" anchor="ctr" anchorCtr="1"/>
                <a:lstStyle/>
                <a:p>
                  <a:pPr>
                    <a:defRPr lang="en-US" sz="1000" b="0" i="0" u="none" strike="noStrike" kern="1200" baseline="0">
                      <a:solidFill>
                        <a:srgbClr val="000000"/>
                      </a:solidFill>
                      <a:latin typeface="Calibri"/>
                      <a:ea typeface="Calibri"/>
                      <a:cs typeface="Calibri"/>
                    </a:defRPr>
                  </a:pPr>
                  <a:endParaRPr lang="sr-Latn-CS"/>
                </a:p>
              </c:txPr>
              <c:dLblPos val="bestFit"/>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ED8-476A-812E-8D10705BC86E}"/>
                </c:ext>
              </c:extLst>
            </c:dLbl>
            <c:dLbl>
              <c:idx val="6"/>
              <c:layout>
                <c:manualLayout>
                  <c:x val="-0.12251604844575578"/>
                  <c:y val="-5.7812491180544101E-2"/>
                </c:manualLayout>
              </c:layout>
              <c:numFmt formatCode="0.00%" sourceLinked="0"/>
              <c:spPr>
                <a:noFill/>
                <a:ln>
                  <a:noFill/>
                </a:ln>
                <a:effectLst/>
              </c:spPr>
              <c:txPr>
                <a:bodyPr rot="0" spcFirstLastPara="1" vertOverflow="ellipsis" vert="horz" wrap="square" anchor="ctr" anchorCtr="1"/>
                <a:lstStyle/>
                <a:p>
                  <a:pPr>
                    <a:defRPr lang="en-US" sz="1000" b="0" i="0" u="none" strike="noStrike" kern="1200" baseline="0">
                      <a:solidFill>
                        <a:srgbClr val="000000"/>
                      </a:solidFill>
                      <a:latin typeface="Calibri"/>
                      <a:ea typeface="Calibri"/>
                      <a:cs typeface="Calibri"/>
                    </a:defRPr>
                  </a:pPr>
                  <a:endParaRPr lang="sr-Latn-CS"/>
                </a:p>
              </c:txPr>
              <c:dLblPos val="bestFit"/>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BED8-476A-812E-8D10705BC86E}"/>
                </c:ext>
              </c:extLst>
            </c:dLbl>
            <c:dLbl>
              <c:idx val="7"/>
              <c:layout>
                <c:manualLayout>
                  <c:x val="4.7978844511905885E-2"/>
                  <c:y val="-0.16167725002116676"/>
                </c:manualLayout>
              </c:layout>
              <c:numFmt formatCode="0.00%" sourceLinked="0"/>
              <c:spPr>
                <a:noFill/>
                <a:ln>
                  <a:noFill/>
                </a:ln>
                <a:effectLst/>
              </c:spPr>
              <c:txPr>
                <a:bodyPr rot="0" spcFirstLastPara="1" vertOverflow="ellipsis" vert="horz" wrap="square" anchor="ctr" anchorCtr="1"/>
                <a:lstStyle/>
                <a:p>
                  <a:pPr>
                    <a:defRPr lang="en-US" sz="1000" b="0" i="0" u="none" strike="noStrike" kern="1200" baseline="0">
                      <a:solidFill>
                        <a:srgbClr val="000000"/>
                      </a:solidFill>
                      <a:latin typeface="Calibri"/>
                      <a:ea typeface="Calibri"/>
                      <a:cs typeface="Calibri"/>
                    </a:defRPr>
                  </a:pPr>
                  <a:endParaRPr lang="sr-Latn-CS"/>
                </a:p>
              </c:txPr>
              <c:dLblPos val="bestFit"/>
              <c:showVal val="1"/>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BED8-476A-812E-8D10705BC86E}"/>
                </c:ext>
              </c:extLst>
            </c:dLbl>
            <c:numFmt formatCode="0.00%" sourceLinked="0"/>
            <c:spPr>
              <a:noFill/>
              <a:ln w="25400">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rgbClr val="000000"/>
                    </a:solidFill>
                    <a:latin typeface="Calibri"/>
                    <a:ea typeface="Calibri"/>
                    <a:cs typeface="Calibri"/>
                  </a:defRPr>
                </a:pPr>
                <a:endParaRPr lang="sr-Latn-CS"/>
              </a:p>
            </c:txPr>
            <c:showVal val="1"/>
            <c:showCatName val="1"/>
            <c:showPercent val="1"/>
            <c:showLeaderLines val="1"/>
            <c:leaderLines>
              <c:spPr>
                <a:ln w="9525" cap="flat" cmpd="sng" algn="ctr">
                  <a:solidFill>
                    <a:schemeClr val="tx1">
                      <a:shade val="95000"/>
                      <a:satMod val="105000"/>
                    </a:schemeClr>
                  </a:solidFill>
                  <a:prstDash val="solid"/>
                  <a:round/>
                </a:ln>
                <a:effectLst/>
              </c:spPr>
            </c:leaderLines>
            <c:extLst xmlns:c16r2="http://schemas.microsoft.com/office/drawing/2015/06/chart">
              <c:ext xmlns:c15="http://schemas.microsoft.com/office/drawing/2012/chart" uri="{CE6537A1-D6FC-4f65-9D91-7224C49458BB}"/>
            </c:extLst>
          </c:dLbls>
          <c:cat>
            <c:strRef>
              <c:f>'NEZAPOSLENOST NA P USK-a'!$A$4:$A$11</c:f>
              <c:strCache>
                <c:ptCount val="8"/>
                <c:pt idx="0">
                  <c:v>BIHAĆ</c:v>
                </c:pt>
                <c:pt idx="1">
                  <c:v>B.KRUPA</c:v>
                </c:pt>
                <c:pt idx="2">
                  <c:v>B.PETROVAC</c:v>
                </c:pt>
                <c:pt idx="3">
                  <c:v>BUŽIM</c:v>
                </c:pt>
                <c:pt idx="4">
                  <c:v>CAZIN</c:v>
                </c:pt>
                <c:pt idx="5">
                  <c:v>KLJUČ</c:v>
                </c:pt>
                <c:pt idx="6">
                  <c:v>S.MOST</c:v>
                </c:pt>
                <c:pt idx="7">
                  <c:v>V.KLADUŠA</c:v>
                </c:pt>
              </c:strCache>
            </c:strRef>
          </c:cat>
          <c:val>
            <c:numRef>
              <c:f>'NEZAPOSLENOST NA P USK-a'!$B$4:$B$11</c:f>
              <c:numCache>
                <c:formatCode>0</c:formatCode>
                <c:ptCount val="8"/>
                <c:pt idx="0">
                  <c:v>7239</c:v>
                </c:pt>
                <c:pt idx="1">
                  <c:v>3415</c:v>
                </c:pt>
                <c:pt idx="2">
                  <c:v>838</c:v>
                </c:pt>
                <c:pt idx="3">
                  <c:v>3295</c:v>
                </c:pt>
                <c:pt idx="4">
                  <c:v>8054</c:v>
                </c:pt>
                <c:pt idx="5">
                  <c:v>1777</c:v>
                </c:pt>
                <c:pt idx="6">
                  <c:v>3200</c:v>
                </c:pt>
                <c:pt idx="7">
                  <c:v>5867</c:v>
                </c:pt>
              </c:numCache>
            </c:numRef>
          </c:val>
          <c:extLst xmlns:c16r2="http://schemas.microsoft.com/office/drawing/2015/06/chart">
            <c:ext xmlns:c16="http://schemas.microsoft.com/office/drawing/2014/chart" uri="{C3380CC4-5D6E-409C-BE32-E72D297353CC}">
              <c16:uniqueId val="{00000010-BED8-476A-812E-8D10705BC86E}"/>
            </c:ext>
          </c:extLst>
        </c:ser>
      </c:pie3DChart>
      <c:spPr>
        <a:noFill/>
        <a:ln w="25400">
          <a:noFill/>
        </a:ln>
        <a:effectLst/>
      </c:spPr>
    </c:plotArea>
    <c:plotVisOnly val="1"/>
    <c:dispBlanksAs val="zero"/>
  </c:chart>
  <c:spPr>
    <a:solidFill>
      <a:schemeClr val="bg1"/>
    </a:solidFill>
    <a:ln w="6350" cap="flat" cmpd="sng" algn="ctr">
      <a:solidFill>
        <a:schemeClr val="tx1">
          <a:tint val="75000"/>
        </a:schemeClr>
      </a:solidFill>
      <a:prstDash val="solid"/>
      <a:round/>
    </a:ln>
    <a:effectLst/>
  </c:spPr>
  <c:txPr>
    <a:bodyPr/>
    <a:lstStyle/>
    <a:p>
      <a:pPr>
        <a:defRPr sz="1000" b="0" i="0" u="none" strike="noStrike" baseline="0">
          <a:solidFill>
            <a:srgbClr val="000000"/>
          </a:solidFill>
          <a:latin typeface="Calibri"/>
          <a:ea typeface="Calibri"/>
          <a:cs typeface="Calibri"/>
        </a:defRPr>
      </a:pPr>
      <a:endParaRPr lang="sr-Latn-C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293E8-E0C4-492C-BADD-2B6403A7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55</Pages>
  <Words>23073</Words>
  <Characters>131520</Characters>
  <Application>Microsoft Office Word</Application>
  <DocSecurity>0</DocSecurity>
  <Lines>1096</Lines>
  <Paragraphs>308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Simko</Company>
  <LinksUpToDate>false</LinksUpToDate>
  <CharactersWithSpaces>154285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home</cp:lastModifiedBy>
  <cp:revision>2</cp:revision>
  <cp:lastPrinted>2020-06-24T06:14:00Z</cp:lastPrinted>
  <dcterms:created xsi:type="dcterms:W3CDTF">2020-06-24T11:56:00Z</dcterms:created>
  <dcterms:modified xsi:type="dcterms:W3CDTF">2020-06-24T11:56:00Z</dcterms:modified>
</cp:coreProperties>
</file>